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D9" w:rsidRPr="00B70E5B" w:rsidRDefault="000169D9" w:rsidP="000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</w:pPr>
      <w:r w:rsidRPr="00B70E5B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Пояснительная записка</w:t>
      </w:r>
    </w:p>
    <w:p w:rsidR="00EE3D5C" w:rsidRPr="00B70E5B" w:rsidRDefault="000169D9" w:rsidP="000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E5B">
        <w:rPr>
          <w:rFonts w:ascii="Times New Roman" w:eastAsia="Times New Roman" w:hAnsi="Times New Roman" w:cs="Times New Roman"/>
          <w:b/>
          <w:sz w:val="32"/>
          <w:szCs w:val="32"/>
          <w:lang w:val="x-none" w:eastAsia="ru-RU"/>
        </w:rPr>
        <w:t>к годовому отчету об исполнении бюджета</w:t>
      </w:r>
      <w:r w:rsidRPr="00B70E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169D9" w:rsidRPr="00E96F8F" w:rsidRDefault="00E96F8F" w:rsidP="000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Тельмановский муниципальный округ Донецкой Народной Республики</w:t>
      </w:r>
    </w:p>
    <w:p w:rsidR="000169D9" w:rsidRPr="000169D9" w:rsidRDefault="000169D9" w:rsidP="0001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69D9" w:rsidRPr="002D622C" w:rsidRDefault="000169D9" w:rsidP="002D622C">
      <w:pPr>
        <w:tabs>
          <w:tab w:val="num" w:pos="851"/>
          <w:tab w:val="left" w:pos="993"/>
        </w:tabs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Бюджет муниципального образования </w:t>
      </w:r>
      <w:r w:rsidR="00E96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Тельмановский муниципальный округ Донецкой Народной Республики</w:t>
      </w:r>
      <w:r w:rsidRPr="002D62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разработан и утвержден в целях реализации функций и задач органов местного самоуправления, установленных Федеральным законом от 06.10.2003 №131-ФЗ «Об общих принципах организации местного самоуправления  в Российской Федерации».</w:t>
      </w:r>
    </w:p>
    <w:p w:rsidR="000169D9" w:rsidRPr="002D622C" w:rsidRDefault="000169D9" w:rsidP="002D622C">
      <w:pPr>
        <w:pStyle w:val="af1"/>
        <w:spacing w:before="12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22C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</w:t>
      </w:r>
      <w:r w:rsidR="00E96F8F">
        <w:rPr>
          <w:rFonts w:ascii="Times New Roman" w:hAnsi="Times New Roman"/>
          <w:sz w:val="28"/>
          <w:szCs w:val="28"/>
        </w:rPr>
        <w:t>Тельмановский муниципальный округ</w:t>
      </w:r>
      <w:r w:rsidRPr="002D622C">
        <w:rPr>
          <w:rFonts w:ascii="Times New Roman" w:hAnsi="Times New Roman"/>
          <w:sz w:val="28"/>
          <w:szCs w:val="28"/>
        </w:rPr>
        <w:t xml:space="preserve"> за 202</w:t>
      </w:r>
      <w:r w:rsidR="00E96F8F">
        <w:rPr>
          <w:rFonts w:ascii="Times New Roman" w:hAnsi="Times New Roman"/>
          <w:sz w:val="28"/>
          <w:szCs w:val="28"/>
        </w:rPr>
        <w:t>4</w:t>
      </w:r>
      <w:r w:rsidRPr="002D622C">
        <w:rPr>
          <w:rFonts w:ascii="Times New Roman" w:hAnsi="Times New Roman"/>
          <w:sz w:val="28"/>
          <w:szCs w:val="28"/>
        </w:rPr>
        <w:t xml:space="preserve"> год составлен на основании Положения бюджетном процессе в </w:t>
      </w:r>
      <w:r w:rsidR="00E96F8F">
        <w:rPr>
          <w:rFonts w:ascii="Times New Roman" w:hAnsi="Times New Roman"/>
          <w:sz w:val="28"/>
          <w:szCs w:val="28"/>
        </w:rPr>
        <w:t>муниципальном образовании Тельмановский муниципальный округ Донецкой Народной Республики</w:t>
      </w:r>
      <w:r w:rsidRPr="002D622C">
        <w:rPr>
          <w:rFonts w:ascii="Times New Roman" w:hAnsi="Times New Roman"/>
          <w:sz w:val="28"/>
          <w:szCs w:val="28"/>
        </w:rPr>
        <w:t xml:space="preserve">, решения </w:t>
      </w:r>
      <w:r w:rsidR="00D00E01">
        <w:rPr>
          <w:rFonts w:ascii="Times New Roman" w:hAnsi="Times New Roman"/>
          <w:sz w:val="28"/>
          <w:szCs w:val="28"/>
        </w:rPr>
        <w:t xml:space="preserve">Тельмановского </w:t>
      </w:r>
      <w:r w:rsidR="00E96F8F">
        <w:rPr>
          <w:rFonts w:ascii="Times New Roman" w:hAnsi="Times New Roman"/>
          <w:sz w:val="28"/>
          <w:szCs w:val="28"/>
        </w:rPr>
        <w:t>муниц</w:t>
      </w:r>
      <w:r w:rsidR="00D00E01">
        <w:rPr>
          <w:rFonts w:ascii="Times New Roman" w:hAnsi="Times New Roman"/>
          <w:sz w:val="28"/>
          <w:szCs w:val="28"/>
        </w:rPr>
        <w:t>ипального с</w:t>
      </w:r>
      <w:r w:rsidRPr="002D622C">
        <w:rPr>
          <w:rFonts w:ascii="Times New Roman" w:hAnsi="Times New Roman"/>
          <w:sz w:val="28"/>
          <w:szCs w:val="28"/>
        </w:rPr>
        <w:t xml:space="preserve">овета </w:t>
      </w:r>
      <w:r w:rsidR="00D00E01">
        <w:rPr>
          <w:rFonts w:ascii="Times New Roman" w:hAnsi="Times New Roman"/>
          <w:sz w:val="28"/>
          <w:szCs w:val="28"/>
        </w:rPr>
        <w:t>от 01.01</w:t>
      </w:r>
      <w:r w:rsidRPr="002D622C">
        <w:rPr>
          <w:rFonts w:ascii="Times New Roman" w:hAnsi="Times New Roman"/>
          <w:sz w:val="28"/>
          <w:szCs w:val="28"/>
        </w:rPr>
        <w:t>.202</w:t>
      </w:r>
      <w:r w:rsidR="00D00E01">
        <w:rPr>
          <w:rFonts w:ascii="Times New Roman" w:hAnsi="Times New Roman"/>
          <w:sz w:val="28"/>
          <w:szCs w:val="28"/>
        </w:rPr>
        <w:t>4</w:t>
      </w:r>
      <w:r w:rsidRPr="002D622C">
        <w:rPr>
          <w:rFonts w:ascii="Times New Roman" w:hAnsi="Times New Roman"/>
          <w:sz w:val="28"/>
          <w:szCs w:val="28"/>
        </w:rPr>
        <w:t xml:space="preserve"> №</w:t>
      </w:r>
      <w:r w:rsidR="00D00E01">
        <w:rPr>
          <w:rFonts w:ascii="Times New Roman" w:hAnsi="Times New Roman"/>
          <w:sz w:val="28"/>
          <w:szCs w:val="28"/>
        </w:rPr>
        <w:t>50</w:t>
      </w:r>
      <w:r w:rsidRPr="002D622C">
        <w:rPr>
          <w:rFonts w:ascii="Times New Roman" w:hAnsi="Times New Roman"/>
          <w:sz w:val="28"/>
          <w:szCs w:val="28"/>
        </w:rPr>
        <w:t xml:space="preserve"> </w:t>
      </w:r>
      <w:r w:rsidR="00D00E01">
        <w:rPr>
          <w:rFonts w:ascii="Times New Roman" w:eastAsia="Batang" w:hAnsi="Times New Roman"/>
          <w:bCs/>
          <w:sz w:val="28"/>
          <w:szCs w:val="28"/>
        </w:rPr>
        <w:t>«О</w:t>
      </w:r>
      <w:r w:rsidR="00517704" w:rsidRPr="002D622C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D00E01">
        <w:rPr>
          <w:rFonts w:ascii="Times New Roman" w:eastAsia="Batang" w:hAnsi="Times New Roman"/>
          <w:bCs/>
          <w:sz w:val="28"/>
          <w:szCs w:val="28"/>
        </w:rPr>
        <w:t>бюджете</w:t>
      </w:r>
      <w:r w:rsidR="00517704" w:rsidRPr="002D622C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D00E01">
        <w:rPr>
          <w:rFonts w:ascii="Times New Roman" w:eastAsia="Batang" w:hAnsi="Times New Roman"/>
          <w:bCs/>
          <w:sz w:val="28"/>
          <w:szCs w:val="28"/>
        </w:rPr>
        <w:t xml:space="preserve">Тельмановского муниципального </w:t>
      </w:r>
      <w:r w:rsidR="00517704" w:rsidRPr="002D622C">
        <w:rPr>
          <w:rFonts w:ascii="Times New Roman" w:eastAsia="Batang" w:hAnsi="Times New Roman"/>
          <w:bCs/>
          <w:sz w:val="28"/>
          <w:szCs w:val="28"/>
        </w:rPr>
        <w:t xml:space="preserve">округа </w:t>
      </w:r>
      <w:r w:rsidR="00D00E01">
        <w:rPr>
          <w:rFonts w:ascii="Times New Roman" w:eastAsia="Batang" w:hAnsi="Times New Roman"/>
          <w:bCs/>
          <w:sz w:val="28"/>
          <w:szCs w:val="28"/>
        </w:rPr>
        <w:t>на 2024</w:t>
      </w:r>
      <w:r w:rsidR="00517704" w:rsidRPr="002D622C">
        <w:rPr>
          <w:rFonts w:ascii="Times New Roman" w:eastAsia="Batang" w:hAnsi="Times New Roman"/>
          <w:bCs/>
          <w:sz w:val="28"/>
          <w:szCs w:val="28"/>
        </w:rPr>
        <w:t xml:space="preserve"> год </w:t>
      </w:r>
      <w:r w:rsidR="002623D8">
        <w:rPr>
          <w:rFonts w:ascii="Times New Roman" w:eastAsia="Batang" w:hAnsi="Times New Roman"/>
          <w:bCs/>
          <w:sz w:val="28"/>
          <w:szCs w:val="28"/>
        </w:rPr>
        <w:t>(</w:t>
      </w:r>
      <w:r w:rsidR="00D00E01">
        <w:rPr>
          <w:rFonts w:ascii="Times New Roman" w:eastAsia="Batang" w:hAnsi="Times New Roman"/>
          <w:bCs/>
          <w:sz w:val="28"/>
          <w:szCs w:val="28"/>
        </w:rPr>
        <w:t>с учето</w:t>
      </w:r>
      <w:r w:rsidRPr="002D622C">
        <w:rPr>
          <w:rFonts w:ascii="Times New Roman" w:hAnsi="Times New Roman"/>
          <w:sz w:val="28"/>
          <w:szCs w:val="28"/>
        </w:rPr>
        <w:t>м внесенных изменений и дополнений).</w:t>
      </w:r>
    </w:p>
    <w:p w:rsidR="00516596" w:rsidRPr="002D622C" w:rsidRDefault="00516596" w:rsidP="002D622C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169D9" w:rsidRPr="00DB4968" w:rsidRDefault="000169D9" w:rsidP="00DB496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B49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Раздел 1. Организационная структура</w:t>
      </w:r>
    </w:p>
    <w:p w:rsidR="00A63AB2" w:rsidRPr="002D622C" w:rsidRDefault="00A63AB2" w:rsidP="002D622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D9" w:rsidRPr="002D622C" w:rsidRDefault="000169D9" w:rsidP="002D622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отчетного периода 202</w:t>
      </w:r>
      <w:r w:rsidR="00D00E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муниципальном образовании </w:t>
      </w:r>
      <w:r w:rsid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Тельмановский муниципальный округ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 свою деятельность</w:t>
      </w:r>
      <w:r w:rsidR="00FC4A2B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22C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0169D9" w:rsidRPr="002623D8" w:rsidRDefault="000169D9" w:rsidP="002D622C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функциональные органы Администрации:</w:t>
      </w:r>
    </w:p>
    <w:p w:rsidR="000169D9" w:rsidRPr="002D622C" w:rsidRDefault="000169D9" w:rsidP="002D622C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</w:t>
      </w:r>
      <w:r w:rsid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Тельмановского муниципального округа;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9D9" w:rsidRPr="002D622C" w:rsidRDefault="000169D9" w:rsidP="002D622C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Тельмановский муниципальный совет;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9D9" w:rsidRPr="002D622C" w:rsidRDefault="002623D8" w:rsidP="002D622C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Тельмановского муниципального округа;</w:t>
      </w:r>
    </w:p>
    <w:p w:rsidR="002623D8" w:rsidRPr="002D622C" w:rsidRDefault="002623D8" w:rsidP="002623D8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Тельмановского муниципального округа;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3D8" w:rsidRPr="002D622C" w:rsidRDefault="004C67A9" w:rsidP="002623D8">
      <w:pPr>
        <w:spacing w:after="0" w:line="30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</w:t>
      </w:r>
      <w:r w:rsidR="002623D8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Тельмановского муниципального округа.</w:t>
      </w:r>
      <w:r w:rsidR="002623D8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9D9" w:rsidRPr="002623D8" w:rsidRDefault="000169D9" w:rsidP="002D622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бюджетные учреждения: </w:t>
      </w:r>
    </w:p>
    <w:p w:rsidR="002149A7" w:rsidRDefault="002623D8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«Дом 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юношеского 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A7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Тельмановская д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музыкальная школа»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A7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«Гранитненский сельский Дом культуры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A7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«Греково-Александровский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«Каменский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«Коньковский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«Кузнецово-Михайловский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«Луковский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«Мирненский 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«Мичуринский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«Михайловский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«Первомайский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«Свободненский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МБУ «Староласпинский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«Староигнатьевский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462" w:rsidRDefault="000C5462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«Тельмановский районный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7A9" w:rsidRDefault="004C67A9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«Чермалыкский сельский Дом культуры</w:t>
      </w: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A7" w:rsidRDefault="004C67A9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546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0C5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Тельмановская районная ц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9A7" w:rsidRDefault="004C67A9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1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Тельмановская детско-юношеская спортивная школа</w:t>
      </w:r>
      <w:r w:rsidR="002149A7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7A9" w:rsidRDefault="004C67A9" w:rsidP="002149A7">
      <w:pPr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МБУДО «Тельмановская районная детско-юношеская спортивная школа».</w:t>
      </w:r>
    </w:p>
    <w:p w:rsidR="0098417D" w:rsidRPr="002D622C" w:rsidRDefault="0098417D" w:rsidP="0098417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средства муниципального бюджета использовались на содержание Администрации Тельмановского района и ликвидационных комиссий структурных подразделений и учреждений администрации Тельмановского района.</w:t>
      </w:r>
    </w:p>
    <w:p w:rsidR="000169D9" w:rsidRPr="002D622C" w:rsidRDefault="00CF1BB2" w:rsidP="0098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41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главными распорядителями бюджетных средств являлись:</w:t>
      </w:r>
    </w:p>
    <w:p w:rsidR="000169D9" w:rsidRPr="002D622C" w:rsidRDefault="000169D9" w:rsidP="002149A7">
      <w:pPr>
        <w:numPr>
          <w:ilvl w:val="0"/>
          <w:numId w:val="1"/>
        </w:numPr>
        <w:tabs>
          <w:tab w:val="left" w:pos="993"/>
        </w:tabs>
        <w:spacing w:after="0" w:line="30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84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Тельмановского муниципального округа;</w:t>
      </w:r>
    </w:p>
    <w:p w:rsidR="000169D9" w:rsidRPr="002D622C" w:rsidRDefault="0098417D" w:rsidP="002149A7">
      <w:pPr>
        <w:numPr>
          <w:ilvl w:val="0"/>
          <w:numId w:val="1"/>
        </w:numPr>
        <w:tabs>
          <w:tab w:val="left" w:pos="993"/>
        </w:tabs>
        <w:spacing w:after="0" w:line="30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Тельмановский муниципальный совет;</w:t>
      </w:r>
    </w:p>
    <w:p w:rsidR="000169D9" w:rsidRPr="002D622C" w:rsidRDefault="000169D9" w:rsidP="002149A7">
      <w:pPr>
        <w:numPr>
          <w:ilvl w:val="0"/>
          <w:numId w:val="1"/>
        </w:numPr>
        <w:tabs>
          <w:tab w:val="left" w:pos="993"/>
        </w:tabs>
        <w:spacing w:after="0" w:line="30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="009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Тельмановского муниципального округа;</w:t>
      </w:r>
    </w:p>
    <w:p w:rsidR="0098417D" w:rsidRPr="002D622C" w:rsidRDefault="0098417D" w:rsidP="0098417D">
      <w:pPr>
        <w:numPr>
          <w:ilvl w:val="0"/>
          <w:numId w:val="1"/>
        </w:numPr>
        <w:tabs>
          <w:tab w:val="left" w:pos="993"/>
        </w:tabs>
        <w:spacing w:after="0" w:line="30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169D9" w:rsidRP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Тельмановского муниципального округа;</w:t>
      </w:r>
    </w:p>
    <w:p w:rsidR="0098417D" w:rsidRPr="002D622C" w:rsidRDefault="0098417D" w:rsidP="0098417D">
      <w:pPr>
        <w:numPr>
          <w:ilvl w:val="0"/>
          <w:numId w:val="1"/>
        </w:numPr>
        <w:tabs>
          <w:tab w:val="left" w:pos="993"/>
        </w:tabs>
        <w:spacing w:after="0" w:line="30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 Администрации Тельмановского муниципального округа.</w:t>
      </w:r>
    </w:p>
    <w:p w:rsidR="00FB0FC6" w:rsidRPr="002D622C" w:rsidRDefault="00FB0FC6" w:rsidP="002D622C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4D7" w:rsidRPr="00E14299" w:rsidRDefault="004D34D7" w:rsidP="002D622C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299">
        <w:rPr>
          <w:rFonts w:ascii="Times New Roman" w:hAnsi="Times New Roman" w:cs="Times New Roman"/>
          <w:b/>
          <w:sz w:val="32"/>
          <w:szCs w:val="32"/>
        </w:rPr>
        <w:t xml:space="preserve">Раздел 2.   Анализ отчета об исполнении бюджета </w:t>
      </w:r>
    </w:p>
    <w:p w:rsidR="002D622C" w:rsidRPr="002D622C" w:rsidRDefault="002D622C" w:rsidP="002D622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D7" w:rsidRPr="00E14299" w:rsidRDefault="004D34D7" w:rsidP="002D622C">
      <w:pPr>
        <w:spacing w:after="0"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4299">
        <w:rPr>
          <w:rFonts w:ascii="Times New Roman" w:hAnsi="Times New Roman" w:cs="Times New Roman"/>
          <w:b/>
          <w:sz w:val="30"/>
          <w:szCs w:val="30"/>
        </w:rPr>
        <w:t xml:space="preserve">2.1. Доходы бюджета </w:t>
      </w:r>
      <w:r w:rsidR="0098417D">
        <w:rPr>
          <w:rFonts w:ascii="Times New Roman" w:hAnsi="Times New Roman" w:cs="Times New Roman"/>
          <w:b/>
          <w:sz w:val="30"/>
          <w:szCs w:val="30"/>
        </w:rPr>
        <w:t>Тельмановского муниципального округа в 2024</w:t>
      </w:r>
      <w:r w:rsidRPr="00E14299">
        <w:rPr>
          <w:rFonts w:ascii="Times New Roman" w:hAnsi="Times New Roman" w:cs="Times New Roman"/>
          <w:b/>
          <w:sz w:val="30"/>
          <w:szCs w:val="30"/>
        </w:rPr>
        <w:t xml:space="preserve"> году</w:t>
      </w:r>
    </w:p>
    <w:p w:rsidR="004D34D7" w:rsidRPr="002D622C" w:rsidRDefault="004D34D7" w:rsidP="002149A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8417D">
        <w:rPr>
          <w:rFonts w:ascii="Times New Roman" w:hAnsi="Times New Roman" w:cs="Times New Roman"/>
          <w:sz w:val="28"/>
          <w:szCs w:val="28"/>
        </w:rPr>
        <w:t>Тельмановского муниципального округа по доходам на 2024</w:t>
      </w:r>
      <w:r w:rsidRPr="002D622C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решением </w:t>
      </w:r>
      <w:r w:rsidR="0098417D">
        <w:rPr>
          <w:rFonts w:ascii="Times New Roman" w:hAnsi="Times New Roman" w:cs="Times New Roman"/>
          <w:sz w:val="28"/>
          <w:szCs w:val="28"/>
        </w:rPr>
        <w:t>Тельмановского муниципального округа</w:t>
      </w:r>
      <w:r w:rsidRPr="002D622C">
        <w:rPr>
          <w:rFonts w:ascii="Times New Roman" w:hAnsi="Times New Roman" w:cs="Times New Roman"/>
          <w:sz w:val="28"/>
          <w:szCs w:val="28"/>
        </w:rPr>
        <w:t xml:space="preserve"> от </w:t>
      </w:r>
      <w:r w:rsidR="009074C6">
        <w:rPr>
          <w:rFonts w:ascii="Times New Roman" w:hAnsi="Times New Roman" w:cs="Times New Roman"/>
          <w:sz w:val="28"/>
          <w:szCs w:val="28"/>
        </w:rPr>
        <w:lastRenderedPageBreak/>
        <w:t>01.01.2024 №</w:t>
      </w:r>
      <w:r w:rsidR="0098417D">
        <w:rPr>
          <w:rFonts w:ascii="Times New Roman" w:hAnsi="Times New Roman" w:cs="Times New Roman"/>
          <w:sz w:val="28"/>
          <w:szCs w:val="28"/>
        </w:rPr>
        <w:t>5</w:t>
      </w:r>
      <w:r w:rsidR="009074C6">
        <w:rPr>
          <w:rFonts w:ascii="Times New Roman" w:hAnsi="Times New Roman" w:cs="Times New Roman"/>
          <w:sz w:val="28"/>
          <w:szCs w:val="28"/>
        </w:rPr>
        <w:t>0</w:t>
      </w:r>
      <w:r w:rsidR="0098417D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Pr="002D622C">
        <w:rPr>
          <w:rFonts w:ascii="Times New Roman" w:hAnsi="Times New Roman" w:cs="Times New Roman"/>
          <w:sz w:val="28"/>
          <w:szCs w:val="28"/>
        </w:rPr>
        <w:t xml:space="preserve"> </w:t>
      </w:r>
      <w:r w:rsidR="0098417D">
        <w:rPr>
          <w:rFonts w:ascii="Times New Roman" w:hAnsi="Times New Roman" w:cs="Times New Roman"/>
          <w:sz w:val="28"/>
          <w:szCs w:val="28"/>
        </w:rPr>
        <w:t>Тельмановского муниципального округа Донецкой Народной Республики</w:t>
      </w:r>
      <w:r w:rsidR="009074C6">
        <w:rPr>
          <w:rFonts w:ascii="Times New Roman" w:hAnsi="Times New Roman" w:cs="Times New Roman"/>
          <w:sz w:val="28"/>
          <w:szCs w:val="28"/>
        </w:rPr>
        <w:t xml:space="preserve"> </w:t>
      </w:r>
      <w:r w:rsidR="0098417D">
        <w:rPr>
          <w:rFonts w:ascii="Times New Roman" w:hAnsi="Times New Roman" w:cs="Times New Roman"/>
          <w:sz w:val="28"/>
          <w:szCs w:val="28"/>
        </w:rPr>
        <w:t>на 2024 год</w:t>
      </w:r>
      <w:r w:rsidRPr="002D622C">
        <w:rPr>
          <w:rFonts w:ascii="Times New Roman" w:hAnsi="Times New Roman" w:cs="Times New Roman"/>
          <w:sz w:val="28"/>
          <w:szCs w:val="28"/>
        </w:rPr>
        <w:t xml:space="preserve">» (далее - решение о бюджете) в сумме </w:t>
      </w:r>
      <w:r w:rsidR="009074C6">
        <w:rPr>
          <w:rFonts w:ascii="Times New Roman" w:hAnsi="Times New Roman" w:cs="Times New Roman"/>
          <w:sz w:val="28"/>
          <w:szCs w:val="28"/>
        </w:rPr>
        <w:t>679,35488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4D34D7" w:rsidRPr="002D622C" w:rsidRDefault="004D34D7" w:rsidP="002149A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о бюджете вносились изменения и дополнения, связанные с изменением средств межбюджетных трансфертов. В результате объем доходов бюджета округа увеличен на общую сумму </w:t>
      </w:r>
      <w:r w:rsidR="009074C6">
        <w:rPr>
          <w:rFonts w:ascii="Times New Roman" w:hAnsi="Times New Roman" w:cs="Times New Roman"/>
          <w:sz w:val="28"/>
          <w:szCs w:val="28"/>
        </w:rPr>
        <w:t>457,688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млн. рублей, в том числе межбюджетные трансферты увеличились на </w:t>
      </w:r>
      <w:r w:rsidR="009074C6">
        <w:rPr>
          <w:rFonts w:ascii="Times New Roman" w:hAnsi="Times New Roman" w:cs="Times New Roman"/>
          <w:sz w:val="28"/>
          <w:szCs w:val="28"/>
        </w:rPr>
        <w:t>457,688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млн. рублей.  </w:t>
      </w:r>
    </w:p>
    <w:p w:rsidR="004D34D7" w:rsidRPr="002D622C" w:rsidRDefault="004D34D7" w:rsidP="002149A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 xml:space="preserve">Утвержденный план по доходам бюджета </w:t>
      </w:r>
      <w:r w:rsidR="009074C6">
        <w:rPr>
          <w:rFonts w:ascii="Times New Roman" w:hAnsi="Times New Roman" w:cs="Times New Roman"/>
          <w:sz w:val="28"/>
          <w:szCs w:val="28"/>
        </w:rPr>
        <w:t>Тельмановского муниципального округа на 2024</w:t>
      </w:r>
      <w:r w:rsidRPr="002D622C">
        <w:rPr>
          <w:rFonts w:ascii="Times New Roman" w:hAnsi="Times New Roman" w:cs="Times New Roman"/>
          <w:sz w:val="28"/>
          <w:szCs w:val="28"/>
        </w:rPr>
        <w:t xml:space="preserve"> год в соответствии с решением </w:t>
      </w:r>
      <w:r w:rsidR="009074C6">
        <w:rPr>
          <w:rFonts w:ascii="Times New Roman" w:hAnsi="Times New Roman" w:cs="Times New Roman"/>
          <w:sz w:val="28"/>
          <w:szCs w:val="28"/>
        </w:rPr>
        <w:t>Тельмановского муниципального совета от 29.12.2024 №178</w:t>
      </w:r>
      <w:r w:rsidRPr="002D622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1E142E">
        <w:rPr>
          <w:rFonts w:ascii="Times New Roman" w:hAnsi="Times New Roman" w:cs="Times New Roman"/>
          <w:sz w:val="28"/>
          <w:szCs w:val="28"/>
        </w:rPr>
        <w:t>решение Тельмановского муниципального совета Донецкой Народной Республики</w:t>
      </w:r>
      <w:r w:rsidRPr="002D622C">
        <w:rPr>
          <w:rFonts w:ascii="Times New Roman" w:hAnsi="Times New Roman" w:cs="Times New Roman"/>
          <w:sz w:val="28"/>
          <w:szCs w:val="28"/>
        </w:rPr>
        <w:t xml:space="preserve"> «</w:t>
      </w:r>
      <w:r w:rsidR="001E142E">
        <w:rPr>
          <w:rFonts w:ascii="Times New Roman" w:hAnsi="Times New Roman" w:cs="Times New Roman"/>
          <w:sz w:val="28"/>
          <w:szCs w:val="28"/>
        </w:rPr>
        <w:t>О бюджете</w:t>
      </w:r>
      <w:r w:rsidRPr="002D622C">
        <w:rPr>
          <w:rFonts w:ascii="Times New Roman" w:hAnsi="Times New Roman" w:cs="Times New Roman"/>
          <w:sz w:val="28"/>
          <w:szCs w:val="28"/>
        </w:rPr>
        <w:t xml:space="preserve"> </w:t>
      </w:r>
      <w:r w:rsidR="001E142E">
        <w:rPr>
          <w:rFonts w:ascii="Times New Roman" w:hAnsi="Times New Roman" w:cs="Times New Roman"/>
          <w:sz w:val="28"/>
          <w:szCs w:val="28"/>
        </w:rPr>
        <w:t>Тельмановского муниципального округа Донецкой Народной Республики на 2024</w:t>
      </w:r>
      <w:r w:rsidRPr="002D622C">
        <w:rPr>
          <w:rFonts w:ascii="Times New Roman" w:hAnsi="Times New Roman" w:cs="Times New Roman"/>
          <w:sz w:val="28"/>
          <w:szCs w:val="28"/>
        </w:rPr>
        <w:t xml:space="preserve"> год</w:t>
      </w:r>
      <w:r w:rsidR="001E142E">
        <w:rPr>
          <w:rFonts w:ascii="Times New Roman" w:hAnsi="Times New Roman" w:cs="Times New Roman"/>
          <w:sz w:val="28"/>
          <w:szCs w:val="28"/>
        </w:rPr>
        <w:t>» составил 1 137,043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4D34D7" w:rsidRPr="002D622C" w:rsidRDefault="004D34D7" w:rsidP="002149A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бюджет </w:t>
      </w:r>
      <w:r w:rsidR="001E142E">
        <w:rPr>
          <w:rFonts w:ascii="Times New Roman" w:hAnsi="Times New Roman" w:cs="Times New Roman"/>
          <w:sz w:val="28"/>
          <w:szCs w:val="28"/>
        </w:rPr>
        <w:t>Тельмановского муниципального округа</w:t>
      </w:r>
      <w:r w:rsidRPr="002D622C">
        <w:rPr>
          <w:rFonts w:ascii="Times New Roman" w:hAnsi="Times New Roman" w:cs="Times New Roman"/>
          <w:sz w:val="28"/>
          <w:szCs w:val="28"/>
        </w:rPr>
        <w:t xml:space="preserve"> по доходам исполнен в сумме </w:t>
      </w:r>
      <w:r w:rsidR="00F86199">
        <w:rPr>
          <w:rFonts w:ascii="Times New Roman" w:hAnsi="Times New Roman" w:cs="Times New Roman"/>
          <w:sz w:val="28"/>
          <w:szCs w:val="28"/>
        </w:rPr>
        <w:t>1</w:t>
      </w:r>
      <w:r w:rsidR="00AB56A1">
        <w:rPr>
          <w:rFonts w:ascii="Times New Roman" w:hAnsi="Times New Roman" w:cs="Times New Roman"/>
          <w:sz w:val="28"/>
          <w:szCs w:val="28"/>
        </w:rPr>
        <w:t> 133,125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</w:t>
      </w:r>
      <w:r w:rsidR="00F86199">
        <w:rPr>
          <w:rFonts w:ascii="Times New Roman" w:hAnsi="Times New Roman" w:cs="Times New Roman"/>
          <w:sz w:val="28"/>
          <w:szCs w:val="28"/>
        </w:rPr>
        <w:t xml:space="preserve">лн. </w:t>
      </w:r>
      <w:r w:rsidR="00AB56A1">
        <w:rPr>
          <w:rFonts w:ascii="Times New Roman" w:hAnsi="Times New Roman" w:cs="Times New Roman"/>
          <w:sz w:val="28"/>
          <w:szCs w:val="28"/>
        </w:rPr>
        <w:t>рублей, что составляет 99,7</w:t>
      </w:r>
      <w:r w:rsidRPr="002D622C">
        <w:rPr>
          <w:rFonts w:ascii="Times New Roman" w:hAnsi="Times New Roman" w:cs="Times New Roman"/>
          <w:sz w:val="28"/>
          <w:szCs w:val="28"/>
        </w:rPr>
        <w:t>% к утвержденному плану года (</w:t>
      </w:r>
      <w:r w:rsidR="00F86199">
        <w:rPr>
          <w:rFonts w:ascii="Times New Roman" w:hAnsi="Times New Roman" w:cs="Times New Roman"/>
          <w:sz w:val="28"/>
          <w:szCs w:val="28"/>
        </w:rPr>
        <w:t>1137,043</w:t>
      </w:r>
      <w:r w:rsidRPr="002D622C">
        <w:rPr>
          <w:rFonts w:ascii="Times New Roman" w:hAnsi="Times New Roman" w:cs="Times New Roman"/>
          <w:sz w:val="28"/>
          <w:szCs w:val="28"/>
        </w:rPr>
        <w:t xml:space="preserve"> млн. рублей). </w:t>
      </w:r>
    </w:p>
    <w:p w:rsidR="004D34D7" w:rsidRPr="002D622C" w:rsidRDefault="00F86199" w:rsidP="002149A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4D34D7" w:rsidRPr="002D622C">
        <w:rPr>
          <w:rFonts w:ascii="Times New Roman" w:hAnsi="Times New Roman" w:cs="Times New Roman"/>
          <w:sz w:val="28"/>
          <w:szCs w:val="28"/>
        </w:rPr>
        <w:t xml:space="preserve"> году доходы бюджета формировались за счет поступлений:</w:t>
      </w:r>
    </w:p>
    <w:p w:rsidR="004D34D7" w:rsidRPr="002D622C" w:rsidRDefault="004D34D7" w:rsidP="008B59B7">
      <w:pPr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 xml:space="preserve">собственных доходов (налоговые, неналоговые доходы), объем которых составил </w:t>
      </w:r>
      <w:r w:rsidR="00AB56A1">
        <w:rPr>
          <w:rFonts w:ascii="Times New Roman" w:hAnsi="Times New Roman" w:cs="Times New Roman"/>
          <w:sz w:val="28"/>
          <w:szCs w:val="28"/>
        </w:rPr>
        <w:t>182,849</w:t>
      </w:r>
      <w:r w:rsidR="00F86199">
        <w:rPr>
          <w:rFonts w:ascii="Times New Roman" w:hAnsi="Times New Roman" w:cs="Times New Roman"/>
          <w:sz w:val="28"/>
          <w:szCs w:val="28"/>
        </w:rPr>
        <w:t xml:space="preserve"> млн. рублей, исполнение –524,5</w:t>
      </w:r>
      <w:r w:rsidRPr="002D622C">
        <w:rPr>
          <w:rFonts w:ascii="Times New Roman" w:hAnsi="Times New Roman" w:cs="Times New Roman"/>
          <w:sz w:val="28"/>
          <w:szCs w:val="28"/>
        </w:rPr>
        <w:t>%, удельный вес в доходах бюджета –</w:t>
      </w:r>
      <w:r w:rsidR="00AB56A1">
        <w:rPr>
          <w:rFonts w:ascii="Times New Roman" w:hAnsi="Times New Roman" w:cs="Times New Roman"/>
          <w:sz w:val="28"/>
          <w:szCs w:val="28"/>
        </w:rPr>
        <w:t>16,1</w:t>
      </w:r>
      <w:r w:rsidRPr="002D622C">
        <w:rPr>
          <w:rFonts w:ascii="Times New Roman" w:hAnsi="Times New Roman" w:cs="Times New Roman"/>
          <w:sz w:val="28"/>
          <w:szCs w:val="28"/>
        </w:rPr>
        <w:t>%;</w:t>
      </w:r>
    </w:p>
    <w:p w:rsidR="004D34D7" w:rsidRPr="002D622C" w:rsidRDefault="004D34D7" w:rsidP="008B59B7">
      <w:pPr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22C">
        <w:rPr>
          <w:rFonts w:ascii="Times New Roman" w:hAnsi="Times New Roman" w:cs="Times New Roman"/>
          <w:sz w:val="28"/>
          <w:szCs w:val="28"/>
        </w:rPr>
        <w:t>межбюджетных трансфертов (субвенции, дотации, субсидии и иные межбюджетные трансферты от бюджетов других уровней) –</w:t>
      </w:r>
      <w:r w:rsidR="00AB56A1">
        <w:rPr>
          <w:rFonts w:ascii="Times New Roman" w:hAnsi="Times New Roman" w:cs="Times New Roman"/>
          <w:sz w:val="28"/>
          <w:szCs w:val="28"/>
        </w:rPr>
        <w:t>950,276 млн. рублей, исполнение – 86,2</w:t>
      </w:r>
      <w:r w:rsidRPr="002D622C">
        <w:rPr>
          <w:rFonts w:ascii="Times New Roman" w:hAnsi="Times New Roman" w:cs="Times New Roman"/>
          <w:sz w:val="28"/>
          <w:szCs w:val="28"/>
        </w:rPr>
        <w:t>%, удель</w:t>
      </w:r>
      <w:r w:rsidR="00F86199">
        <w:rPr>
          <w:rFonts w:ascii="Times New Roman" w:hAnsi="Times New Roman" w:cs="Times New Roman"/>
          <w:sz w:val="28"/>
          <w:szCs w:val="28"/>
        </w:rPr>
        <w:t xml:space="preserve">ный вес в доходах </w:t>
      </w:r>
      <w:r w:rsidR="00AB56A1">
        <w:rPr>
          <w:rFonts w:ascii="Times New Roman" w:hAnsi="Times New Roman" w:cs="Times New Roman"/>
          <w:sz w:val="28"/>
          <w:szCs w:val="28"/>
        </w:rPr>
        <w:t>бюджета – 83,9</w:t>
      </w:r>
      <w:r w:rsidRPr="002D622C">
        <w:rPr>
          <w:rFonts w:ascii="Times New Roman" w:hAnsi="Times New Roman" w:cs="Times New Roman"/>
          <w:sz w:val="28"/>
          <w:szCs w:val="28"/>
        </w:rPr>
        <w:t>%;</w:t>
      </w:r>
    </w:p>
    <w:p w:rsidR="004D34D7" w:rsidRPr="00DB709B" w:rsidRDefault="004D34D7" w:rsidP="004D34D7">
      <w:pPr>
        <w:tabs>
          <w:tab w:val="left" w:pos="0"/>
        </w:tabs>
        <w:ind w:firstLine="349"/>
        <w:jc w:val="right"/>
        <w:rPr>
          <w:rFonts w:ascii="Times New Roman" w:hAnsi="Times New Roman" w:cs="Times New Roman"/>
          <w:spacing w:val="4"/>
        </w:rPr>
      </w:pPr>
    </w:p>
    <w:p w:rsidR="004D34D7" w:rsidRPr="00CB62E5" w:rsidRDefault="004D34D7" w:rsidP="00CB62E5">
      <w:pPr>
        <w:tabs>
          <w:tab w:val="left" w:pos="0"/>
        </w:tabs>
        <w:spacing w:after="0" w:line="300" w:lineRule="auto"/>
        <w:ind w:firstLine="85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B62E5">
        <w:rPr>
          <w:rFonts w:ascii="Times New Roman" w:hAnsi="Times New Roman" w:cs="Times New Roman"/>
          <w:b/>
          <w:spacing w:val="4"/>
          <w:sz w:val="28"/>
          <w:szCs w:val="28"/>
        </w:rPr>
        <w:t>Собственные доходы бюджета</w:t>
      </w:r>
      <w:r w:rsidRPr="00CB62E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0F70">
        <w:rPr>
          <w:rFonts w:ascii="Times New Roman" w:hAnsi="Times New Roman" w:cs="Times New Roman"/>
          <w:sz w:val="28"/>
          <w:szCs w:val="28"/>
        </w:rPr>
        <w:t>в 2024</w:t>
      </w:r>
      <w:r w:rsidRPr="00CB62E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0F70">
        <w:rPr>
          <w:rFonts w:ascii="Times New Roman" w:hAnsi="Times New Roman" w:cs="Times New Roman"/>
          <w:sz w:val="28"/>
          <w:szCs w:val="28"/>
        </w:rPr>
        <w:t xml:space="preserve"> </w:t>
      </w:r>
      <w:r w:rsidRPr="00CB62E5">
        <w:rPr>
          <w:rFonts w:ascii="Times New Roman" w:hAnsi="Times New Roman" w:cs="Times New Roman"/>
          <w:sz w:val="28"/>
          <w:szCs w:val="28"/>
        </w:rPr>
        <w:t>ф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ормировались </w:t>
      </w:r>
      <w:r w:rsidR="00DE0F7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62E5">
        <w:rPr>
          <w:rFonts w:ascii="Times New Roman" w:hAnsi="Times New Roman" w:cs="Times New Roman"/>
          <w:spacing w:val="4"/>
          <w:sz w:val="28"/>
          <w:szCs w:val="28"/>
        </w:rPr>
        <w:t xml:space="preserve"> за счет:</w:t>
      </w:r>
    </w:p>
    <w:p w:rsidR="004D34D7" w:rsidRPr="00F24273" w:rsidRDefault="00AB56A1" w:rsidP="008B59B7">
      <w:pPr>
        <w:pStyle w:val="a4"/>
        <w:numPr>
          <w:ilvl w:val="0"/>
          <w:numId w:val="9"/>
        </w:numPr>
        <w:tabs>
          <w:tab w:val="left" w:pos="0"/>
        </w:tabs>
        <w:spacing w:line="30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налоговых доходов – </w:t>
      </w:r>
      <w:r w:rsidR="00BA2896">
        <w:rPr>
          <w:spacing w:val="4"/>
          <w:sz w:val="28"/>
          <w:szCs w:val="28"/>
        </w:rPr>
        <w:t>179,554</w:t>
      </w:r>
      <w:r w:rsidR="00B63B9D">
        <w:rPr>
          <w:spacing w:val="4"/>
          <w:sz w:val="28"/>
          <w:szCs w:val="28"/>
        </w:rPr>
        <w:t xml:space="preserve"> млн. рублей (исполнение 535,0</w:t>
      </w:r>
      <w:r w:rsidR="004D34D7" w:rsidRPr="00F24273">
        <w:rPr>
          <w:spacing w:val="4"/>
          <w:sz w:val="28"/>
          <w:szCs w:val="28"/>
        </w:rPr>
        <w:t xml:space="preserve">%), удельный </w:t>
      </w:r>
      <w:r w:rsidR="00B63B9D">
        <w:rPr>
          <w:spacing w:val="4"/>
          <w:sz w:val="28"/>
          <w:szCs w:val="28"/>
        </w:rPr>
        <w:t>вес в собственных доходах – 98,2</w:t>
      </w:r>
      <w:r w:rsidR="004D34D7" w:rsidRPr="00F24273">
        <w:rPr>
          <w:spacing w:val="4"/>
          <w:sz w:val="28"/>
          <w:szCs w:val="28"/>
        </w:rPr>
        <w:t>%</w:t>
      </w:r>
      <w:r w:rsidR="002D2898">
        <w:rPr>
          <w:spacing w:val="4"/>
          <w:sz w:val="28"/>
          <w:szCs w:val="28"/>
        </w:rPr>
        <w:t>;</w:t>
      </w:r>
    </w:p>
    <w:p w:rsidR="004D34D7" w:rsidRPr="00F24273" w:rsidRDefault="00BA2896" w:rsidP="008B59B7">
      <w:pPr>
        <w:pStyle w:val="a4"/>
        <w:numPr>
          <w:ilvl w:val="0"/>
          <w:numId w:val="9"/>
        </w:numPr>
        <w:tabs>
          <w:tab w:val="left" w:pos="0"/>
        </w:tabs>
        <w:spacing w:line="30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неналоговых доходов – 3, 294</w:t>
      </w:r>
      <w:r w:rsidR="00B63B9D">
        <w:rPr>
          <w:spacing w:val="4"/>
          <w:sz w:val="28"/>
          <w:szCs w:val="28"/>
        </w:rPr>
        <w:t xml:space="preserve"> млн. рублей (исполнение 25</w:t>
      </w:r>
      <w:r w:rsidR="00AB56A1">
        <w:rPr>
          <w:spacing w:val="4"/>
          <w:sz w:val="28"/>
          <w:szCs w:val="28"/>
        </w:rPr>
        <w:t>3,2</w:t>
      </w:r>
      <w:r w:rsidR="004D34D7" w:rsidRPr="00F24273">
        <w:rPr>
          <w:spacing w:val="4"/>
          <w:sz w:val="28"/>
          <w:szCs w:val="28"/>
        </w:rPr>
        <w:t>%)</w:t>
      </w:r>
      <w:r w:rsidR="002D2898">
        <w:rPr>
          <w:spacing w:val="4"/>
          <w:sz w:val="28"/>
          <w:szCs w:val="28"/>
        </w:rPr>
        <w:t>,</w:t>
      </w:r>
      <w:r w:rsidR="004D34D7" w:rsidRPr="00F24273">
        <w:rPr>
          <w:spacing w:val="4"/>
          <w:sz w:val="28"/>
          <w:szCs w:val="28"/>
        </w:rPr>
        <w:t xml:space="preserve"> удельный вес в собственных доходах –</w:t>
      </w:r>
      <w:r w:rsidR="00B63B9D">
        <w:rPr>
          <w:spacing w:val="4"/>
          <w:sz w:val="28"/>
          <w:szCs w:val="28"/>
        </w:rPr>
        <w:t xml:space="preserve"> 1,8</w:t>
      </w:r>
      <w:r w:rsidR="004D34D7" w:rsidRPr="00F24273">
        <w:rPr>
          <w:spacing w:val="4"/>
          <w:sz w:val="28"/>
          <w:szCs w:val="28"/>
        </w:rPr>
        <w:t>%.</w:t>
      </w:r>
    </w:p>
    <w:p w:rsidR="004D34D7" w:rsidRPr="00CB62E5" w:rsidRDefault="004D34D7" w:rsidP="00A1564E">
      <w:pPr>
        <w:tabs>
          <w:tab w:val="left" w:pos="0"/>
          <w:tab w:val="num" w:pos="900"/>
        </w:tabs>
        <w:spacing w:after="0" w:line="30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62E5">
        <w:rPr>
          <w:rFonts w:ascii="Times New Roman" w:hAnsi="Times New Roman" w:cs="Times New Roman"/>
          <w:sz w:val="28"/>
          <w:szCs w:val="28"/>
        </w:rPr>
        <w:t>С</w:t>
      </w:r>
      <w:r w:rsidR="00DE0F70">
        <w:rPr>
          <w:rFonts w:ascii="Times New Roman" w:hAnsi="Times New Roman" w:cs="Times New Roman"/>
          <w:sz w:val="28"/>
          <w:szCs w:val="28"/>
        </w:rPr>
        <w:t>обственные доходы бюджета в 2024</w:t>
      </w:r>
      <w:r w:rsidRPr="00CB62E5">
        <w:rPr>
          <w:rFonts w:ascii="Times New Roman" w:hAnsi="Times New Roman" w:cs="Times New Roman"/>
          <w:sz w:val="28"/>
          <w:szCs w:val="28"/>
        </w:rPr>
        <w:t xml:space="preserve"> </w:t>
      </w:r>
      <w:r w:rsidR="00DE0F70">
        <w:rPr>
          <w:rFonts w:ascii="Times New Roman" w:hAnsi="Times New Roman" w:cs="Times New Roman"/>
          <w:sz w:val="28"/>
          <w:szCs w:val="28"/>
        </w:rPr>
        <w:t>году выросли по сравнению с 2023</w:t>
      </w:r>
      <w:r w:rsidR="00917018">
        <w:rPr>
          <w:rFonts w:ascii="Times New Roman" w:hAnsi="Times New Roman" w:cs="Times New Roman"/>
          <w:sz w:val="28"/>
          <w:szCs w:val="28"/>
        </w:rPr>
        <w:t xml:space="preserve"> годом на 165,3</w:t>
      </w:r>
      <w:r w:rsidRPr="00CB62E5">
        <w:rPr>
          <w:rFonts w:ascii="Times New Roman" w:hAnsi="Times New Roman" w:cs="Times New Roman"/>
          <w:sz w:val="28"/>
          <w:szCs w:val="28"/>
        </w:rPr>
        <w:t xml:space="preserve"> млн. рубл</w:t>
      </w:r>
      <w:r w:rsidR="00917018">
        <w:rPr>
          <w:rFonts w:ascii="Times New Roman" w:hAnsi="Times New Roman" w:cs="Times New Roman"/>
          <w:sz w:val="28"/>
          <w:szCs w:val="28"/>
        </w:rPr>
        <w:t>ей</w:t>
      </w:r>
      <w:r w:rsidRPr="00CB62E5">
        <w:rPr>
          <w:rFonts w:ascii="Times New Roman" w:hAnsi="Times New Roman" w:cs="Times New Roman"/>
          <w:sz w:val="28"/>
          <w:szCs w:val="28"/>
        </w:rPr>
        <w:t>.</w:t>
      </w:r>
    </w:p>
    <w:p w:rsidR="004D34D7" w:rsidRPr="00CB62E5" w:rsidRDefault="004D34D7" w:rsidP="00A1564E">
      <w:pPr>
        <w:tabs>
          <w:tab w:val="left" w:pos="0"/>
        </w:tabs>
        <w:spacing w:after="0" w:line="300" w:lineRule="auto"/>
        <w:ind w:firstLine="85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D79FF">
        <w:rPr>
          <w:rFonts w:ascii="Times New Roman" w:hAnsi="Times New Roman" w:cs="Times New Roman"/>
          <w:b/>
          <w:spacing w:val="4"/>
          <w:sz w:val="28"/>
          <w:szCs w:val="28"/>
        </w:rPr>
        <w:t>Налоговые источники</w:t>
      </w:r>
      <w:r w:rsidRPr="00CB62E5">
        <w:rPr>
          <w:rFonts w:ascii="Times New Roman" w:hAnsi="Times New Roman" w:cs="Times New Roman"/>
          <w:b/>
          <w:spacing w:val="4"/>
          <w:sz w:val="28"/>
          <w:szCs w:val="28"/>
        </w:rPr>
        <w:t xml:space="preserve"> бюджета</w:t>
      </w:r>
      <w:r w:rsidRPr="00CB62E5">
        <w:rPr>
          <w:rFonts w:ascii="Times New Roman" w:hAnsi="Times New Roman" w:cs="Times New Roman"/>
          <w:spacing w:val="4"/>
          <w:sz w:val="28"/>
          <w:szCs w:val="28"/>
        </w:rPr>
        <w:t xml:space="preserve"> в отчетном периоде в значительной степени обеспечивались за счет следующих источников. Удельный вес каждого из них в структуре налоговых доходов за рассматриваемый период составил:</w:t>
      </w:r>
    </w:p>
    <w:p w:rsidR="004D34D7" w:rsidRPr="00917018" w:rsidRDefault="004D34D7" w:rsidP="00BB3BDA">
      <w:pPr>
        <w:numPr>
          <w:ilvl w:val="0"/>
          <w:numId w:val="4"/>
        </w:numPr>
        <w:tabs>
          <w:tab w:val="left" w:pos="284"/>
        </w:tabs>
        <w:spacing w:after="0" w:line="300" w:lineRule="auto"/>
        <w:ind w:left="284" w:firstLine="85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17018">
        <w:rPr>
          <w:rFonts w:ascii="Times New Roman" w:hAnsi="Times New Roman" w:cs="Times New Roman"/>
          <w:spacing w:val="4"/>
          <w:sz w:val="28"/>
          <w:szCs w:val="28"/>
        </w:rPr>
        <w:t>налога на доходы физических лиц</w:t>
      </w:r>
      <w:r w:rsidR="001E58FA" w:rsidRPr="00917018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                -  95,3</w:t>
      </w:r>
      <w:r w:rsidRPr="009170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D2898" w:rsidRPr="00917018">
        <w:rPr>
          <w:rFonts w:ascii="Times New Roman" w:hAnsi="Times New Roman" w:cs="Times New Roman"/>
          <w:spacing w:val="4"/>
          <w:sz w:val="28"/>
          <w:szCs w:val="28"/>
        </w:rPr>
        <w:t>%;</w:t>
      </w:r>
      <w:r w:rsidRPr="0091701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4D34D7" w:rsidRDefault="004D34D7" w:rsidP="008B59B7">
      <w:pPr>
        <w:numPr>
          <w:ilvl w:val="0"/>
          <w:numId w:val="4"/>
        </w:numPr>
        <w:tabs>
          <w:tab w:val="left" w:pos="284"/>
        </w:tabs>
        <w:spacing w:after="0" w:line="30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B62E5">
        <w:rPr>
          <w:rFonts w:ascii="Times New Roman" w:hAnsi="Times New Roman" w:cs="Times New Roman"/>
          <w:spacing w:val="4"/>
          <w:sz w:val="28"/>
          <w:szCs w:val="28"/>
        </w:rPr>
        <w:t xml:space="preserve">налоги на совокупный доход                       </w:t>
      </w:r>
      <w:r w:rsidR="00917018">
        <w:rPr>
          <w:rFonts w:ascii="Times New Roman" w:hAnsi="Times New Roman" w:cs="Times New Roman"/>
          <w:sz w:val="28"/>
          <w:szCs w:val="28"/>
        </w:rPr>
        <w:t xml:space="preserve"> - 1,</w:t>
      </w:r>
      <w:r w:rsidR="00B63B9D">
        <w:rPr>
          <w:rFonts w:ascii="Times New Roman" w:hAnsi="Times New Roman" w:cs="Times New Roman"/>
          <w:sz w:val="28"/>
          <w:szCs w:val="28"/>
        </w:rPr>
        <w:t>6</w:t>
      </w:r>
      <w:r w:rsidRPr="00CB62E5">
        <w:rPr>
          <w:rFonts w:ascii="Times New Roman" w:hAnsi="Times New Roman" w:cs="Times New Roman"/>
          <w:sz w:val="28"/>
          <w:szCs w:val="28"/>
        </w:rPr>
        <w:t xml:space="preserve"> </w:t>
      </w:r>
      <w:r w:rsidR="002D2898">
        <w:rPr>
          <w:rFonts w:ascii="Times New Roman" w:hAnsi="Times New Roman" w:cs="Times New Roman"/>
          <w:sz w:val="28"/>
          <w:szCs w:val="28"/>
        </w:rPr>
        <w:t>%;</w:t>
      </w:r>
    </w:p>
    <w:p w:rsidR="00917018" w:rsidRPr="00CB62E5" w:rsidRDefault="00917018" w:rsidP="008B59B7">
      <w:pPr>
        <w:numPr>
          <w:ilvl w:val="0"/>
          <w:numId w:val="4"/>
        </w:numPr>
        <w:tabs>
          <w:tab w:val="left" w:pos="284"/>
        </w:tabs>
        <w:spacing w:after="0" w:line="300" w:lineRule="auto"/>
        <w:ind w:left="28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госпошлина                                                        </w:t>
      </w:r>
      <w:r w:rsidR="00715B67">
        <w:rPr>
          <w:rFonts w:ascii="Times New Roman" w:hAnsi="Times New Roman" w:cs="Times New Roman"/>
          <w:sz w:val="28"/>
          <w:szCs w:val="28"/>
        </w:rPr>
        <w:t>- 0,5%;</w:t>
      </w:r>
    </w:p>
    <w:p w:rsidR="002D2898" w:rsidRPr="00B63B9D" w:rsidRDefault="004D34D7" w:rsidP="00B63B9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63B9D">
        <w:rPr>
          <w:rFonts w:ascii="Times New Roman" w:hAnsi="Times New Roman" w:cs="Times New Roman"/>
          <w:spacing w:val="4"/>
          <w:sz w:val="28"/>
          <w:szCs w:val="28"/>
        </w:rPr>
        <w:t>прочие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3B9D">
        <w:rPr>
          <w:rFonts w:ascii="Times New Roman" w:hAnsi="Times New Roman" w:cs="Times New Roman"/>
          <w:spacing w:val="4"/>
          <w:sz w:val="28"/>
          <w:szCs w:val="28"/>
        </w:rPr>
        <w:t>налоговые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3B9D">
        <w:rPr>
          <w:rFonts w:ascii="Times New Roman" w:hAnsi="Times New Roman" w:cs="Times New Roman"/>
          <w:spacing w:val="4"/>
          <w:sz w:val="28"/>
          <w:szCs w:val="28"/>
        </w:rPr>
        <w:t>доходы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17018" w:rsidRPr="00B63B9D">
        <w:rPr>
          <w:rFonts w:ascii="Times New Roman" w:hAnsi="Times New Roman" w:cs="Times New Roman"/>
          <w:spacing w:val="4"/>
          <w:sz w:val="28"/>
          <w:szCs w:val="28"/>
        </w:rPr>
        <w:t>(акцизы</w:t>
      </w:r>
      <w:r w:rsidRPr="00B63B9D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2D2898" w:rsidRPr="00B63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63B9D">
        <w:rPr>
          <w:rFonts w:ascii="Times New Roman" w:hAnsi="Times New Roman" w:cs="Times New Roman"/>
          <w:spacing w:val="4"/>
          <w:sz w:val="28"/>
          <w:szCs w:val="28"/>
        </w:rPr>
        <w:t xml:space="preserve">           </w:t>
      </w:r>
      <w:r w:rsidR="00B63B9D" w:rsidRPr="00B63B9D">
        <w:rPr>
          <w:rFonts w:ascii="Times New Roman" w:hAnsi="Times New Roman" w:cs="Times New Roman"/>
          <w:spacing w:val="4"/>
          <w:sz w:val="28"/>
          <w:szCs w:val="28"/>
        </w:rPr>
        <w:t xml:space="preserve"> -  2,6</w:t>
      </w:r>
      <w:r w:rsidR="002D2898" w:rsidRPr="00B63B9D">
        <w:rPr>
          <w:rFonts w:ascii="Times New Roman" w:hAnsi="Times New Roman" w:cs="Times New Roman"/>
          <w:spacing w:val="4"/>
          <w:sz w:val="28"/>
          <w:szCs w:val="28"/>
        </w:rPr>
        <w:t xml:space="preserve"> %.</w:t>
      </w:r>
    </w:p>
    <w:p w:rsidR="004D34D7" w:rsidRPr="00CB62E5" w:rsidRDefault="004D34D7" w:rsidP="00A1564E">
      <w:pPr>
        <w:spacing w:after="0" w:line="30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B62E5">
        <w:rPr>
          <w:rFonts w:ascii="Times New Roman" w:hAnsi="Times New Roman" w:cs="Times New Roman"/>
          <w:spacing w:val="4"/>
          <w:sz w:val="28"/>
          <w:szCs w:val="28"/>
        </w:rPr>
        <w:t>Анализ поступлений налоговых</w:t>
      </w:r>
      <w:r w:rsidR="00660E1C">
        <w:rPr>
          <w:rFonts w:ascii="Times New Roman" w:hAnsi="Times New Roman" w:cs="Times New Roman"/>
          <w:spacing w:val="4"/>
          <w:sz w:val="28"/>
          <w:szCs w:val="28"/>
        </w:rPr>
        <w:t xml:space="preserve"> доходов представлен в Таблице 1</w:t>
      </w:r>
      <w:r w:rsidRPr="00CB62E5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4D34D7" w:rsidRPr="00CB62E5" w:rsidRDefault="00660E1C" w:rsidP="004D34D7">
      <w:pPr>
        <w:spacing w:before="120"/>
        <w:ind w:left="284" w:firstLine="850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Таблица 1</w:t>
      </w: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1985"/>
        <w:gridCol w:w="1701"/>
        <w:gridCol w:w="1984"/>
      </w:tblGrid>
      <w:tr w:rsidR="00B63B9D" w:rsidRPr="00DB709B" w:rsidTr="00631A3E">
        <w:trPr>
          <w:trHeight w:val="956"/>
        </w:trPr>
        <w:tc>
          <w:tcPr>
            <w:tcW w:w="4122" w:type="dxa"/>
            <w:shd w:val="clear" w:color="auto" w:fill="auto"/>
            <w:hideMark/>
          </w:tcPr>
          <w:p w:rsidR="00B63B9D" w:rsidRPr="00F24273" w:rsidRDefault="00B63B9D" w:rsidP="00E92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hideMark/>
          </w:tcPr>
          <w:p w:rsidR="00B63B9D" w:rsidRPr="00F24273" w:rsidRDefault="00B63B9D" w:rsidP="009E0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Уточн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ен.</w:t>
            </w: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на 2024</w:t>
            </w: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  <w:hideMark/>
          </w:tcPr>
          <w:p w:rsidR="00B63B9D" w:rsidRPr="00F24273" w:rsidRDefault="00B63B9D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Факт за 2024</w:t>
            </w: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B63B9D" w:rsidRPr="00F24273" w:rsidRDefault="00B63B9D" w:rsidP="00E92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% исполнения</w:t>
            </w:r>
          </w:p>
        </w:tc>
      </w:tr>
      <w:tr w:rsidR="00B63B9D" w:rsidRPr="00DB709B" w:rsidTr="00631A3E">
        <w:trPr>
          <w:trHeight w:val="451"/>
        </w:trPr>
        <w:tc>
          <w:tcPr>
            <w:tcW w:w="4122" w:type="dxa"/>
            <w:shd w:val="clear" w:color="auto" w:fill="auto"/>
            <w:hideMark/>
          </w:tcPr>
          <w:p w:rsidR="00B63B9D" w:rsidRPr="00F24273" w:rsidRDefault="00B63B9D" w:rsidP="00E92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63B9D" w:rsidRPr="00F24273" w:rsidRDefault="00B63B9D" w:rsidP="00E92CC4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млн.</w:t>
            </w:r>
            <w:r w:rsidR="00227C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B63B9D" w:rsidRPr="00F24273" w:rsidRDefault="00B63B9D" w:rsidP="00F24273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млн.</w:t>
            </w:r>
            <w:r w:rsidR="00227C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984" w:type="dxa"/>
            <w:shd w:val="clear" w:color="auto" w:fill="auto"/>
            <w:hideMark/>
          </w:tcPr>
          <w:p w:rsidR="00B63B9D" w:rsidRPr="00F24273" w:rsidRDefault="00B63B9D" w:rsidP="00E92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B63B9D" w:rsidRPr="00DB709B" w:rsidTr="00631A3E">
        <w:trPr>
          <w:trHeight w:val="375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Default="00B63B9D" w:rsidP="00F2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27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</w:t>
            </w:r>
            <w:r w:rsidRPr="00F24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B63B9D" w:rsidRPr="00F24273" w:rsidRDefault="00B63B9D" w:rsidP="00F242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33,562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179,554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535,0</w:t>
            </w:r>
          </w:p>
        </w:tc>
      </w:tr>
      <w:tr w:rsidR="00B63B9D" w:rsidRPr="00DB709B" w:rsidTr="00631A3E">
        <w:trPr>
          <w:trHeight w:val="405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Pr="00F24273" w:rsidRDefault="00631A3E" w:rsidP="00F242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63B9D" w:rsidRPr="00F24273" w:rsidRDefault="008D79FF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171,063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588,6</w:t>
            </w:r>
          </w:p>
        </w:tc>
      </w:tr>
      <w:tr w:rsidR="00B63B9D" w:rsidRPr="00DB709B" w:rsidTr="00631A3E">
        <w:trPr>
          <w:trHeight w:val="390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Pr="00F24273" w:rsidRDefault="00B63B9D" w:rsidP="00F2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273">
              <w:rPr>
                <w:rFonts w:ascii="Times New Roman" w:hAnsi="Times New Roman" w:cs="Times New Roman"/>
                <w:b/>
                <w:bCs/>
                <w:color w:val="000000"/>
              </w:rPr>
              <w:t>АКЦИЗЫ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31A3E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4,682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107,3</w:t>
            </w:r>
          </w:p>
        </w:tc>
      </w:tr>
      <w:tr w:rsidR="00B63B9D" w:rsidRPr="00DB709B" w:rsidTr="00631A3E">
        <w:trPr>
          <w:trHeight w:val="585"/>
        </w:trPr>
        <w:tc>
          <w:tcPr>
            <w:tcW w:w="4122" w:type="dxa"/>
            <w:shd w:val="clear" w:color="auto" w:fill="auto"/>
            <w:hideMark/>
          </w:tcPr>
          <w:p w:rsidR="00B63B9D" w:rsidRPr="00F24273" w:rsidRDefault="00B63B9D" w:rsidP="00F2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НАЛОГИ НА СОВОКУПНЫЙ ДОХОД, </w:t>
            </w:r>
          </w:p>
          <w:p w:rsidR="00B63B9D" w:rsidRPr="00F24273" w:rsidRDefault="00B63B9D" w:rsidP="00F242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24273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8410,2</w:t>
            </w:r>
          </w:p>
        </w:tc>
      </w:tr>
      <w:tr w:rsidR="00B63B9D" w:rsidRPr="00DB709B" w:rsidTr="00631A3E">
        <w:trPr>
          <w:trHeight w:val="405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Pr="00F24273" w:rsidRDefault="00631A3E" w:rsidP="00F24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2,663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B63B9D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</w:p>
        </w:tc>
      </w:tr>
      <w:tr w:rsidR="00B63B9D" w:rsidRPr="00DB709B" w:rsidTr="00631A3E">
        <w:trPr>
          <w:trHeight w:val="405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Pr="00F24273" w:rsidRDefault="00631A3E" w:rsidP="00F242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626,1</w:t>
            </w:r>
          </w:p>
        </w:tc>
      </w:tr>
      <w:tr w:rsidR="00B63B9D" w:rsidRPr="00DB709B" w:rsidTr="00631A3E">
        <w:trPr>
          <w:trHeight w:val="435"/>
        </w:trPr>
        <w:tc>
          <w:tcPr>
            <w:tcW w:w="4122" w:type="dxa"/>
            <w:shd w:val="clear" w:color="auto" w:fill="auto"/>
            <w:noWrap/>
            <w:vAlign w:val="bottom"/>
            <w:hideMark/>
          </w:tcPr>
          <w:p w:rsidR="00B63B9D" w:rsidRPr="00F24273" w:rsidRDefault="00B63B9D" w:rsidP="00F242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273">
              <w:rPr>
                <w:rFonts w:ascii="Times New Roman" w:hAnsi="Times New Roman" w:cs="Times New Roman"/>
                <w:b/>
                <w:bCs/>
                <w:color w:val="000000"/>
              </w:rPr>
              <w:t>ГОСПОШЛИНА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63B9D" w:rsidRPr="00F24273" w:rsidRDefault="00631A3E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0,932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63B9D" w:rsidRPr="00F24273" w:rsidRDefault="00B63B9D" w:rsidP="00F2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273"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</w:tc>
      </w:tr>
    </w:tbl>
    <w:p w:rsidR="008D79FF" w:rsidRDefault="008D79FF" w:rsidP="001E58FA">
      <w:pPr>
        <w:spacing w:after="0" w:line="32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4D7" w:rsidRPr="008D79FF" w:rsidRDefault="008D79FF" w:rsidP="001E58FA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9FF">
        <w:rPr>
          <w:rFonts w:ascii="Times New Roman" w:hAnsi="Times New Roman" w:cs="Times New Roman"/>
          <w:sz w:val="28"/>
          <w:szCs w:val="28"/>
        </w:rPr>
        <w:t>В 2024 году впервые в бюджет округа доведены показатели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расчетных показателей Федеральной налоговой службы Донецкой Народной Республики.</w:t>
      </w:r>
    </w:p>
    <w:p w:rsidR="004D34D7" w:rsidRDefault="008D79FF" w:rsidP="001E58FA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2024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 года по неналоговым доходам бюджет</w:t>
      </w:r>
      <w:r w:rsidR="001E58FA">
        <w:rPr>
          <w:rFonts w:ascii="Times New Roman" w:hAnsi="Times New Roman" w:cs="Times New Roman"/>
          <w:sz w:val="28"/>
          <w:szCs w:val="28"/>
        </w:rPr>
        <w:t>а</w:t>
      </w:r>
      <w:r w:rsidR="00131848">
        <w:rPr>
          <w:rFonts w:ascii="Times New Roman" w:hAnsi="Times New Roman" w:cs="Times New Roman"/>
          <w:sz w:val="28"/>
          <w:szCs w:val="28"/>
        </w:rPr>
        <w:t xml:space="preserve"> исполнен на 253,2</w:t>
      </w:r>
      <w:r w:rsidR="004D34D7" w:rsidRPr="00CB62E5">
        <w:rPr>
          <w:rFonts w:ascii="Times New Roman" w:hAnsi="Times New Roman" w:cs="Times New Roman"/>
          <w:sz w:val="28"/>
          <w:szCs w:val="28"/>
        </w:rPr>
        <w:t>%, фактические пост</w:t>
      </w:r>
      <w:r>
        <w:rPr>
          <w:rFonts w:ascii="Times New Roman" w:hAnsi="Times New Roman" w:cs="Times New Roman"/>
          <w:sz w:val="28"/>
          <w:szCs w:val="28"/>
        </w:rPr>
        <w:t>упления снизи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>по сравнению с 2023</w:t>
      </w:r>
      <w:r w:rsidR="001E58F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на </w:t>
      </w:r>
      <w:r w:rsidR="00660E1C">
        <w:rPr>
          <w:rFonts w:ascii="Times New Roman" w:hAnsi="Times New Roman" w:cs="Times New Roman"/>
          <w:sz w:val="28"/>
          <w:szCs w:val="28"/>
        </w:rPr>
        <w:t>14,255</w:t>
      </w:r>
      <w:r w:rsidR="00DF275B">
        <w:rPr>
          <w:rFonts w:ascii="Times New Roman" w:hAnsi="Times New Roman" w:cs="Times New Roman"/>
          <w:sz w:val="28"/>
          <w:szCs w:val="28"/>
        </w:rPr>
        <w:t xml:space="preserve"> 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1E58FA">
        <w:rPr>
          <w:rFonts w:ascii="Times New Roman" w:hAnsi="Times New Roman" w:cs="Times New Roman"/>
          <w:sz w:val="28"/>
          <w:szCs w:val="28"/>
        </w:rPr>
        <w:t xml:space="preserve">и 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60E1C">
        <w:rPr>
          <w:rFonts w:ascii="Times New Roman" w:hAnsi="Times New Roman" w:cs="Times New Roman"/>
          <w:sz w:val="28"/>
          <w:szCs w:val="28"/>
        </w:rPr>
        <w:t>3,294</w:t>
      </w:r>
      <w:r w:rsidR="004D34D7" w:rsidRPr="00CB62E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CD12E5" w:rsidRDefault="00CD12E5" w:rsidP="001E58FA">
      <w:pPr>
        <w:spacing w:after="0"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64E" w:rsidRPr="00CB62E5" w:rsidRDefault="00A1564E" w:rsidP="001E58FA">
      <w:pPr>
        <w:spacing w:after="0" w:line="324" w:lineRule="auto"/>
        <w:ind w:firstLine="567"/>
        <w:rPr>
          <w:rFonts w:ascii="Times New Roman" w:eastAsia="Arial Unicode MS" w:hAnsi="Times New Roman" w:cs="Times New Roman"/>
          <w:noProof/>
          <w:sz w:val="28"/>
          <w:szCs w:val="28"/>
        </w:rPr>
      </w:pPr>
      <w:r w:rsidRPr="00CB62E5">
        <w:rPr>
          <w:rFonts w:ascii="Times New Roman" w:eastAsia="Arial Unicode MS" w:hAnsi="Times New Roman" w:cs="Times New Roman"/>
          <w:noProof/>
          <w:sz w:val="28"/>
          <w:szCs w:val="28"/>
        </w:rPr>
        <w:t>Анализ поступлений неналоговых</w:t>
      </w:r>
      <w:r w:rsidR="00660E1C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доходов представлен в Таблице 2</w:t>
      </w:r>
      <w:r w:rsidR="002D2898">
        <w:rPr>
          <w:rFonts w:ascii="Times New Roman" w:eastAsia="Arial Unicode MS" w:hAnsi="Times New Roman" w:cs="Times New Roman"/>
          <w:noProof/>
          <w:sz w:val="28"/>
          <w:szCs w:val="28"/>
        </w:rPr>
        <w:t>:</w:t>
      </w:r>
      <w:r w:rsidRPr="00CB62E5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</w:p>
    <w:p w:rsidR="00A1564E" w:rsidRDefault="004D34D7" w:rsidP="001E58FA">
      <w:pPr>
        <w:spacing w:after="0" w:line="324" w:lineRule="auto"/>
        <w:ind w:firstLine="567"/>
        <w:rPr>
          <w:rFonts w:ascii="Times New Roman" w:eastAsia="Arial Unicode MS" w:hAnsi="Times New Roman" w:cs="Times New Roman"/>
          <w:noProof/>
          <w:sz w:val="28"/>
          <w:szCs w:val="28"/>
        </w:rPr>
      </w:pPr>
      <w:r w:rsidRPr="00CB62E5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</w:t>
      </w:r>
    </w:p>
    <w:p w:rsidR="004D34D7" w:rsidRPr="00CB62E5" w:rsidRDefault="004D34D7" w:rsidP="00CB62E5">
      <w:pPr>
        <w:spacing w:after="0" w:line="300" w:lineRule="auto"/>
        <w:jc w:val="right"/>
        <w:rPr>
          <w:rFonts w:ascii="Times New Roman" w:eastAsia="Arial Unicode MS" w:hAnsi="Times New Roman" w:cs="Times New Roman"/>
          <w:noProof/>
          <w:sz w:val="28"/>
          <w:szCs w:val="28"/>
        </w:rPr>
      </w:pPr>
      <w:r w:rsidRPr="00CB62E5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                                                                                      </w:t>
      </w:r>
      <w:r w:rsidR="00A1564E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                             </w:t>
      </w:r>
      <w:r w:rsidR="00660E1C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Таблица 2</w:t>
      </w:r>
    </w:p>
    <w:tbl>
      <w:tblPr>
        <w:tblW w:w="102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988"/>
        <w:gridCol w:w="1418"/>
        <w:gridCol w:w="1134"/>
        <w:gridCol w:w="1000"/>
        <w:gridCol w:w="1240"/>
        <w:gridCol w:w="1180"/>
        <w:gridCol w:w="1240"/>
      </w:tblGrid>
      <w:tr w:rsidR="004D34D7" w:rsidRPr="00DB709B" w:rsidTr="009E0E94">
        <w:trPr>
          <w:trHeight w:val="9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9E0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Уточнен</w:t>
            </w:r>
            <w:r w:rsidR="009E0E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60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</w:t>
            </w:r>
            <w:r w:rsidR="00660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 2024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660E1C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за 2024</w:t>
            </w:r>
            <w:r w:rsidR="004D34D7"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660E1C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за 2023</w:t>
            </w:r>
            <w:r w:rsidR="004D34D7"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Темпы прироста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объемов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Темпы прироста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объемов</w:t>
            </w:r>
            <w:r w:rsidR="001318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,%</w:t>
            </w:r>
          </w:p>
        </w:tc>
      </w:tr>
      <w:tr w:rsidR="004D34D7" w:rsidRPr="00DB709B" w:rsidTr="009E0E94">
        <w:trPr>
          <w:trHeight w:val="3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млн.</w:t>
            </w:r>
            <w:r w:rsidR="00820E80"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4D7" w:rsidRPr="00A1564E" w:rsidRDefault="004D34D7" w:rsidP="00A156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млн.</w:t>
            </w:r>
            <w:r w:rsidR="00820E80"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млн.</w:t>
            </w:r>
            <w:r w:rsidR="00820E80"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156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D7" w:rsidRPr="00A1564E" w:rsidRDefault="004D34D7" w:rsidP="00A15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4D7" w:rsidRPr="00DB709B" w:rsidTr="009E0E94">
        <w:trPr>
          <w:trHeight w:val="54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34D7" w:rsidRPr="00CB62E5" w:rsidRDefault="004D34D7" w:rsidP="00CD1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НЕНАЛОГОВЫЕ ДОХОДЫ, </w:t>
            </w:r>
            <w:r w:rsidR="00CD12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660E1C" w:rsidP="00C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660E1C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C0D6F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-14,255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D8121A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4D34D7" w:rsidRPr="00DB709B" w:rsidTr="009E0E94">
        <w:trPr>
          <w:trHeight w:val="18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4D7" w:rsidRPr="00CB62E5" w:rsidRDefault="004D34D7" w:rsidP="001C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Доходы, получаемые в виде арендной платы за передачу в возмездное пользование </w:t>
            </w:r>
            <w:r w:rsidR="00CD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и </w:t>
            </w:r>
            <w:r w:rsidR="001C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733,6</w:t>
            </w:r>
          </w:p>
        </w:tc>
      </w:tr>
      <w:tr w:rsidR="004D34D7" w:rsidRPr="00DB709B" w:rsidTr="009E0E94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D7" w:rsidRPr="00CB62E5" w:rsidRDefault="00131848" w:rsidP="00CD1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r w:rsidR="004D34D7"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пенсации</w:t>
            </w:r>
            <w:r w:rsidR="00CD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D34D7"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 гос</w:t>
            </w:r>
            <w:r w:rsidR="00CD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-1,205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D8121A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46,3</w:t>
            </w:r>
          </w:p>
        </w:tc>
      </w:tr>
      <w:tr w:rsidR="004D34D7" w:rsidRPr="00DB709B" w:rsidTr="009E0E94">
        <w:trPr>
          <w:trHeight w:val="85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4D7" w:rsidRPr="00CB62E5" w:rsidRDefault="004D34D7" w:rsidP="00131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r w:rsidR="0013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131848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D8121A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4D7" w:rsidRPr="00DB709B" w:rsidTr="009E0E94">
        <w:trPr>
          <w:trHeight w:val="61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4D7" w:rsidRPr="00CB62E5" w:rsidRDefault="004D34D7" w:rsidP="00CD1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  <w:r w:rsidR="00D81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(добровольные пожертвования)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D8121A" w:rsidP="00CD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4D7" w:rsidRPr="00CB62E5" w:rsidRDefault="004D34D7" w:rsidP="00CD12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4D7" w:rsidRPr="00DB709B" w:rsidRDefault="004D34D7" w:rsidP="004D34D7">
      <w:pPr>
        <w:jc w:val="right"/>
        <w:rPr>
          <w:rFonts w:ascii="Times New Roman" w:eastAsia="Arial Unicode MS" w:hAnsi="Times New Roman" w:cs="Times New Roman"/>
          <w:noProof/>
        </w:rPr>
      </w:pPr>
    </w:p>
    <w:p w:rsidR="004D34D7" w:rsidRPr="000058B9" w:rsidRDefault="00D8121A" w:rsidP="00742155">
      <w:pPr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4D34D7" w:rsidRPr="000058B9">
        <w:rPr>
          <w:rFonts w:ascii="Times New Roman" w:hAnsi="Times New Roman" w:cs="Times New Roman"/>
          <w:b/>
          <w:sz w:val="28"/>
          <w:szCs w:val="28"/>
        </w:rPr>
        <w:t xml:space="preserve"> году основная доля в</w:t>
      </w:r>
      <w:r w:rsidR="004D34D7" w:rsidRPr="000058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неналоговых поступлениях</w:t>
      </w:r>
      <w:r w:rsidR="004D34D7" w:rsidRPr="000058B9">
        <w:rPr>
          <w:rFonts w:ascii="Times New Roman" w:hAnsi="Times New Roman" w:cs="Times New Roman"/>
          <w:bCs/>
          <w:iCs/>
          <w:sz w:val="28"/>
          <w:szCs w:val="28"/>
        </w:rPr>
        <w:t xml:space="preserve"> приходится на </w:t>
      </w:r>
      <w:r w:rsidR="00742155">
        <w:rPr>
          <w:rFonts w:ascii="Times New Roman" w:hAnsi="Times New Roman" w:cs="Times New Roman"/>
          <w:bCs/>
          <w:iCs/>
          <w:sz w:val="28"/>
          <w:szCs w:val="28"/>
        </w:rPr>
        <w:t>доходы, получаемые в виде арендной платы за передача в возмездное пользование государственного и муниципального имущества 2,230 млн.</w:t>
      </w:r>
      <w:r w:rsidR="00227C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2155">
        <w:rPr>
          <w:rFonts w:ascii="Times New Roman" w:hAnsi="Times New Roman" w:cs="Times New Roman"/>
          <w:bCs/>
          <w:iCs/>
          <w:sz w:val="28"/>
          <w:szCs w:val="28"/>
        </w:rPr>
        <w:t>руб., или 67,7% от  поступлений.</w:t>
      </w:r>
    </w:p>
    <w:p w:rsidR="004D34D7" w:rsidRPr="000058B9" w:rsidRDefault="004D34D7" w:rsidP="000058B9">
      <w:pPr>
        <w:spacing w:after="0" w:line="300" w:lineRule="auto"/>
        <w:ind w:firstLine="68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058B9">
        <w:rPr>
          <w:rFonts w:ascii="Times New Roman" w:hAnsi="Times New Roman" w:cs="Times New Roman"/>
          <w:sz w:val="28"/>
          <w:szCs w:val="28"/>
        </w:rPr>
        <w:t xml:space="preserve">По неналоговым доходам </w:t>
      </w:r>
      <w:r w:rsidR="00742155">
        <w:rPr>
          <w:rFonts w:ascii="Times New Roman" w:hAnsi="Times New Roman" w:cs="Times New Roman"/>
          <w:sz w:val="28"/>
          <w:szCs w:val="28"/>
        </w:rPr>
        <w:t>снижение в 2024</w:t>
      </w:r>
      <w:r w:rsidRPr="000058B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155">
        <w:rPr>
          <w:rFonts w:ascii="Times New Roman" w:hAnsi="Times New Roman" w:cs="Times New Roman"/>
          <w:sz w:val="28"/>
          <w:szCs w:val="28"/>
        </w:rPr>
        <w:t>у по сравнению с предыдущим 2023 годом на 14,255</w:t>
      </w:r>
      <w:r w:rsidR="00362E0C">
        <w:rPr>
          <w:rFonts w:ascii="Times New Roman" w:hAnsi="Times New Roman" w:cs="Times New Roman"/>
          <w:sz w:val="28"/>
          <w:szCs w:val="28"/>
        </w:rPr>
        <w:t xml:space="preserve"> млн. рублей или на 81,3</w:t>
      </w:r>
      <w:r w:rsidRPr="000058B9">
        <w:rPr>
          <w:rFonts w:ascii="Times New Roman" w:hAnsi="Times New Roman" w:cs="Times New Roman"/>
          <w:sz w:val="28"/>
          <w:szCs w:val="28"/>
        </w:rPr>
        <w:t xml:space="preserve">%, </w:t>
      </w:r>
      <w:r w:rsidRPr="000058B9">
        <w:rPr>
          <w:rFonts w:ascii="Times New Roman" w:hAnsi="Times New Roman" w:cs="Times New Roman"/>
          <w:i/>
          <w:iCs/>
          <w:sz w:val="28"/>
          <w:szCs w:val="28"/>
        </w:rPr>
        <w:t>в том числе по следующим видам неналоговых доходов:</w:t>
      </w:r>
    </w:p>
    <w:p w:rsidR="004D34D7" w:rsidRPr="000058B9" w:rsidRDefault="004D34D7" w:rsidP="00362E0C">
      <w:pPr>
        <w:pStyle w:val="a4"/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</w:p>
    <w:tbl>
      <w:tblPr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284"/>
        <w:gridCol w:w="9639"/>
      </w:tblGrid>
      <w:tr w:rsidR="004D34D7" w:rsidRPr="000058B9" w:rsidTr="004D34D7"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4D7" w:rsidRPr="000058B9" w:rsidRDefault="004D34D7" w:rsidP="000058B9">
            <w:pPr>
              <w:spacing w:after="0" w:line="30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4D7" w:rsidRPr="00E60759" w:rsidRDefault="00362E0C" w:rsidP="009E0E94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spacing w:line="3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 снизились на 1,205 млн.</w:t>
            </w:r>
            <w:r w:rsidR="00227C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 в связи со сменой собственников имущества, ликвидацией учреждений;</w:t>
            </w:r>
          </w:p>
        </w:tc>
      </w:tr>
      <w:tr w:rsidR="004D34D7" w:rsidRPr="000058B9" w:rsidTr="004D34D7"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4D7" w:rsidRPr="000058B9" w:rsidRDefault="004D34D7" w:rsidP="000058B9">
            <w:pPr>
              <w:spacing w:after="0" w:line="30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0058B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4D7" w:rsidRPr="00E60759" w:rsidRDefault="00362E0C" w:rsidP="00B96C3B">
            <w:pPr>
              <w:pStyle w:val="a4"/>
              <w:numPr>
                <w:ilvl w:val="0"/>
                <w:numId w:val="16"/>
              </w:numPr>
              <w:tabs>
                <w:tab w:val="left" w:pos="425"/>
              </w:tabs>
              <w:spacing w:line="30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поступили пожертвования районному Дому культуры на регистрацию автоклуба и на ремонт районной детско-юношеской спортивной школы.</w:t>
            </w:r>
          </w:p>
        </w:tc>
      </w:tr>
    </w:tbl>
    <w:p w:rsidR="006A4063" w:rsidRDefault="004D34D7" w:rsidP="006A406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B9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в доходную часть бюджета </w:t>
      </w:r>
      <w:r w:rsidR="00C4262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0058B9">
        <w:rPr>
          <w:rFonts w:ascii="Times New Roman" w:hAnsi="Times New Roman" w:cs="Times New Roman"/>
          <w:color w:val="000000"/>
          <w:sz w:val="28"/>
          <w:szCs w:val="28"/>
        </w:rPr>
        <w:t xml:space="preserve"> получены следующие безвозмездные перечисления от бюджетов других уровней (федеральный и </w:t>
      </w:r>
      <w:r w:rsidR="00C4262E">
        <w:rPr>
          <w:rFonts w:ascii="Times New Roman" w:hAnsi="Times New Roman" w:cs="Times New Roman"/>
          <w:color w:val="000000"/>
          <w:sz w:val="28"/>
          <w:szCs w:val="28"/>
        </w:rPr>
        <w:t>республиканский</w:t>
      </w:r>
      <w:r w:rsidRPr="0000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бюджет): </w:t>
      </w:r>
    </w:p>
    <w:p w:rsidR="004D34D7" w:rsidRPr="000058B9" w:rsidRDefault="004D34D7" w:rsidP="006A4063">
      <w:pPr>
        <w:spacing w:after="0"/>
        <w:ind w:firstLine="680"/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0058B9">
        <w:rPr>
          <w:rFonts w:ascii="Times New Roman" w:hAnsi="Times New Roman" w:cs="Times New Roman"/>
          <w:color w:val="000000"/>
          <w:sz w:val="24"/>
          <w:szCs w:val="24"/>
        </w:rPr>
        <w:t>млн.</w:t>
      </w:r>
      <w:r w:rsidR="00B9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8B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Overlap w:val="never"/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2409"/>
        <w:gridCol w:w="2410"/>
        <w:gridCol w:w="1750"/>
      </w:tblGrid>
      <w:tr w:rsidR="004D34D7" w:rsidRPr="000058B9" w:rsidTr="006A4063">
        <w:trPr>
          <w:trHeight w:val="769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2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от бюджетов других уровней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34D7" w:rsidRPr="006A4063" w:rsidRDefault="004D34D7" w:rsidP="002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34D7" w:rsidRPr="006A4063" w:rsidRDefault="004D34D7" w:rsidP="002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поступления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34D7" w:rsidRPr="006A4063" w:rsidRDefault="004D34D7" w:rsidP="002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4D34D7" w:rsidRPr="006A4063" w:rsidRDefault="004D34D7" w:rsidP="002A30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исп.</w:t>
            </w:r>
          </w:p>
        </w:tc>
      </w:tr>
      <w:tr w:rsidR="004D34D7" w:rsidRPr="000058B9" w:rsidTr="006A4063"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4D3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264,102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260,1</w:t>
            </w:r>
            <w:r w:rsidR="00267C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4D34D7" w:rsidRPr="000058B9" w:rsidTr="006A4063"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4D3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155,489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D34D7" w:rsidRPr="000058B9" w:rsidTr="006A4063">
        <w:trPr>
          <w:trHeight w:val="316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4D3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585,238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463,449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4D34D7" w:rsidRPr="000058B9" w:rsidTr="006A4063">
        <w:trPr>
          <w:trHeight w:val="521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6A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71,008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267CB9" w:rsidRPr="000058B9" w:rsidTr="006A4063">
        <w:trPr>
          <w:trHeight w:val="521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CB9" w:rsidRPr="006A4063" w:rsidRDefault="00267CB9" w:rsidP="006A40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государственных (муниципальных организаций) в бюджеты муниципальных округов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CB9" w:rsidRDefault="00267CB9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CB9" w:rsidRDefault="00267CB9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7CB9" w:rsidRDefault="00267CB9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4D7" w:rsidRPr="000058B9" w:rsidTr="006A4063">
        <w:trPr>
          <w:trHeight w:val="292"/>
        </w:trPr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4D34D7" w:rsidP="004D3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1 102,179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950,276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4D7" w:rsidRPr="006A4063" w:rsidRDefault="00C4262E" w:rsidP="004D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</w:tr>
    </w:tbl>
    <w:p w:rsidR="004D34D7" w:rsidRPr="000058B9" w:rsidRDefault="00267CB9" w:rsidP="006A406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4D34D7" w:rsidRPr="000058B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бюджетов других уровней  поступили </w:t>
      </w:r>
      <w:r w:rsidR="004D34D7" w:rsidRPr="000058B9">
        <w:rPr>
          <w:rFonts w:ascii="Times New Roman" w:hAnsi="Times New Roman" w:cs="Times New Roman"/>
          <w:spacing w:val="4"/>
          <w:sz w:val="28"/>
          <w:szCs w:val="28"/>
        </w:rPr>
        <w:t xml:space="preserve"> на выполнение расходных обязательств, связанных с реализацией вопросов местного значения </w:t>
      </w:r>
      <w:r>
        <w:rPr>
          <w:rFonts w:ascii="Times New Roman" w:hAnsi="Times New Roman" w:cs="Times New Roman"/>
          <w:spacing w:val="4"/>
          <w:sz w:val="28"/>
          <w:szCs w:val="28"/>
        </w:rPr>
        <w:t>муниципального</w:t>
      </w:r>
      <w:r w:rsidR="004D34D7" w:rsidRPr="000058B9">
        <w:rPr>
          <w:rFonts w:ascii="Times New Roman" w:hAnsi="Times New Roman" w:cs="Times New Roman"/>
          <w:spacing w:val="4"/>
          <w:sz w:val="28"/>
          <w:szCs w:val="28"/>
        </w:rPr>
        <w:t xml:space="preserve"> округа и полномочий органов местного самоуправления по решению вопросов местного значения, (в том числе на осуществление целевых расходов)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D34D7" w:rsidRPr="000058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85B59" w:rsidRPr="000058B9" w:rsidRDefault="00985B59" w:rsidP="00C76F43">
      <w:pPr>
        <w:tabs>
          <w:tab w:val="left" w:pos="567"/>
          <w:tab w:val="left" w:pos="851"/>
        </w:tabs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88" w:rsidRPr="00E14299" w:rsidRDefault="00C43988" w:rsidP="00C76F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E14299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2.2. Расходы бюджета </w:t>
      </w:r>
      <w:r w:rsidR="00267CB9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Тельмановского муниципального округа</w:t>
      </w:r>
      <w:r w:rsidRPr="00E14299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в 20</w:t>
      </w:r>
      <w:r w:rsidRPr="00E14299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2</w:t>
      </w:r>
      <w:r w:rsidR="00267CB9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4</w:t>
      </w:r>
      <w:r w:rsidRPr="00E14299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году</w:t>
      </w:r>
    </w:p>
    <w:p w:rsidR="006A4063" w:rsidRPr="006A4063" w:rsidRDefault="006A4063" w:rsidP="00C76F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43988" w:rsidRPr="000058B9" w:rsidRDefault="00C43988" w:rsidP="00B61BD5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бюджета </w:t>
      </w:r>
      <w:r w:rsidR="00267C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Тельмановского муниципального округа</w:t>
      </w: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202</w:t>
      </w:r>
      <w:r w:rsidR="00267C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году исполнены  в сумме  </w:t>
      </w:r>
      <w:r w:rsidR="00D95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1 082,091</w:t>
      </w: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млн</w:t>
      </w:r>
      <w:r w:rsidRPr="000058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рублей</w:t>
      </w: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9</w:t>
      </w:r>
      <w:r w:rsidR="00EF51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5,2</w:t>
      </w:r>
      <w:r w:rsidRPr="000058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 к плановым назначениям.</w:t>
      </w:r>
      <w:r w:rsidR="00D95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Расходы распределялись по разделам, подразделам и целевым статьям.</w:t>
      </w:r>
    </w:p>
    <w:p w:rsidR="001D74BB" w:rsidRPr="001D74BB" w:rsidRDefault="001D74BB" w:rsidP="009435F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B284C" w:rsidRDefault="003F02C4" w:rsidP="003F02C4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</w:p>
    <w:p w:rsidR="003F02C4" w:rsidRDefault="003F02C4" w:rsidP="00B32E8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расходы на содержание органов местного самоуправления округа. В бюджете утверждено 1</w:t>
      </w:r>
      <w:r w:rsidR="0098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90,332 млн.руб. на содержание Тельмановского муниципального совета, Администрации и финансового управления Администрации Тельмановского муниципального округа, а также на организацию и осуществление деятельности органов опеки и попечительства и комиссий по делам несовершеннолетних и защите их прав. Фактические расходы составили 184,907 млн. руб., что равняется 97,2 процентам утвержденного показателя. По муниципальному совету и финансовому управлению </w:t>
      </w:r>
      <w:r w:rsidR="002748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освоены на 99,36 и 99,9%. По Администрации округа исполнение бюджета 97,2%. Не освоено 4,444 млн.</w:t>
      </w:r>
      <w:r w:rsidR="0022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</w:t>
      </w:r>
      <w:r w:rsidR="00274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на оплату труда 2,122 млн.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 связи с наличием неразработанных должностей. 2,320 млн.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не освоено на закупку товаров, работ и услуг.</w:t>
      </w:r>
    </w:p>
    <w:p w:rsidR="00274805" w:rsidRDefault="00274805" w:rsidP="00B32E8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осуществление деятельности органов опеки и попечительства использовано 86,6% выделенных лимитов в связи с наличием вакантных должностей.</w:t>
      </w:r>
    </w:p>
    <w:p w:rsidR="00274805" w:rsidRDefault="00274805" w:rsidP="00B32E8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32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на осуществление государственных полномочий </w:t>
      </w:r>
      <w:r w:rsidR="00B3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и организации деятельности муниципальных комиссий по делам несовершеннолетних и защите их прав не освоены в полном объеме (0,491 млн.</w:t>
      </w:r>
      <w:r w:rsidR="0010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 в связи с неукомплектованностью комиссии и несвоевременным поступлением средств.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E83" w:rsidRDefault="00B32E83" w:rsidP="00B32E8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оборона</w:t>
      </w:r>
    </w:p>
    <w:p w:rsidR="00101022" w:rsidRDefault="00B32E83" w:rsidP="0010102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«Национальная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 вошли расходы на осуществление первичного воинского учета органами местного самоуправления в сумме 0,132 млн.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 Средства не освоены из-за отсутствия механизма использования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</w:r>
      <w:r w:rsidR="0010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022" w:rsidRDefault="00101022" w:rsidP="00101022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</w:p>
    <w:p w:rsidR="00101022" w:rsidRDefault="00101022" w:rsidP="0010102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расходы на обеспечение выплаты водителям общественного транспорта заработной платы не менее 60,0 тыс.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без учета налогов</w:t>
      </w:r>
      <w:r w:rsidR="00D2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(1,218млн.руб.) и расходы за счет муниципального Дорожного фонда (4,365 млн.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 На заработную плату водителям использовано 0,132 млн.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неукомплектованностью кадрами. Средства Дорожного фонда аккумулируются для использования в последующих бюджетных периодах.</w:t>
      </w:r>
    </w:p>
    <w:p w:rsidR="00D247FB" w:rsidRDefault="00D247FB" w:rsidP="00D247FB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D247FB" w:rsidRDefault="00D247FB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расходы в сфере жилищно-коммунального хозяйство в бюджете округа утверждено 162,885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Фактические расходы составили 123,144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лимитов 75,6%.</w:t>
      </w:r>
    </w:p>
    <w:p w:rsidR="00D247FB" w:rsidRDefault="00D247FB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реализации мероприятий по осуществлению расходов на проведение капитального ремонта многоквартирных домов (за счет средств публично-правовой компании «Фонд развития территорий»)</w:t>
      </w:r>
      <w:r w:rsidR="00B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утверждено  41,9645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авансирование работ в сумме 12,239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руб.. Средства не освоены в связи с несвоевременным   выделением бюджетных ассигнований.</w:t>
      </w:r>
    </w:p>
    <w:p w:rsidR="00B36E3F" w:rsidRDefault="00BB3BDA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«Благоустройство» утверждены расходы на обеспечение функционирования водопроводно-канализационного хозяйства (1,719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руб.), расходы на благоустройство городов, сел, поселков (4,905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 и ремонт линий наружного освещения 15,827 млн.</w:t>
      </w:r>
      <w:r w:rsidR="0022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расходы на содержание и ремонт автомобильных дорог муниципального значения 30,201 млн.</w:t>
      </w:r>
      <w:r w:rsidR="0022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а также расходы на реализацию мероприятий программ формирования современной городской среды (68,268 млн.</w:t>
      </w:r>
      <w:r w:rsidR="0022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 Всего на благоустройство использовано 110,906 млн.</w:t>
      </w:r>
      <w:r w:rsidR="0022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91,7 % выделенных лимитов.</w:t>
      </w:r>
      <w:r w:rsidR="007D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E3F" w:rsidRDefault="007D4C2D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 использованы бюджетные назначения на содержание и ремонт автомобильных дорог. Освоение </w:t>
      </w:r>
      <w:r w:rsidR="00B3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98,2%. Проведена паспортизация муниципальных дорог, изготовлена проектно-сметная документация на ремонт дорожного покрытия в с. Кузнецово-Михайловка. Всего израсходовано 29,667 млн. рублей. </w:t>
      </w:r>
    </w:p>
    <w:p w:rsidR="00BB3BDA" w:rsidRDefault="00B36E3F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и содержание линий наружного освещения проведены на сумму 14,428 млн. рублей. В отчетном году  восстановлены линии наружного освещения в с. Зерновое, с. Шевченко, с. Чермалык, с. Первомайское, с. Розовка. Продолжено освещение пгт. Тельманово.</w:t>
      </w:r>
    </w:p>
    <w:p w:rsidR="0021275D" w:rsidRDefault="00B36E3F" w:rsidP="0021275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«Формирование современной городской среды»  проведено благоустройство общественных территорий в с. Зерновое и с. Кузнецово-Михайловка</w:t>
      </w:r>
      <w:r w:rsidR="0052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2273B">
        <w:rPr>
          <w:rFonts w:ascii="Times New Roman" w:eastAsia="Times New Roman" w:hAnsi="Times New Roman" w:cs="Times New Roman"/>
          <w:sz w:val="28"/>
          <w:szCs w:val="28"/>
          <w:lang w:eastAsia="ru-RU"/>
        </w:rPr>
        <w:t>42,3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2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Завешены работы по благоустройству аллеи-парка в пгт. Тельманово на сумму 20,879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Не освоено 5,088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 связи корректировкой работ из-за удорожания строительных материалов.</w:t>
      </w:r>
    </w:p>
    <w:p w:rsidR="00101022" w:rsidRPr="00B32E83" w:rsidRDefault="0021275D" w:rsidP="0010102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обеспечение водопроводно-канализационного хозяйства и благоустройство территорий не </w:t>
      </w:r>
      <w:r w:rsidR="00E3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 в полном объеме в связи с ликвидацией местных администраций и сменой собственника имущества. В сумме 2,992 млн.</w:t>
      </w:r>
      <w:r w:rsidR="00C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43988" w:rsidRDefault="00E31150" w:rsidP="00E31150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Образование</w:t>
      </w:r>
    </w:p>
    <w:p w:rsidR="006F50AA" w:rsidRDefault="00227CAD" w:rsidP="00227CA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AD">
        <w:rPr>
          <w:rFonts w:ascii="Times New Roman" w:eastAsia="Calibri" w:hAnsi="Times New Roman" w:cs="Times New Roman"/>
          <w:sz w:val="28"/>
          <w:szCs w:val="28"/>
        </w:rPr>
        <w:t>В структуре расходов бюджета Тельмановского муниципального округа на 2024 год расходы в сфере образования занимают 58,8 %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составляют 636,371 млн. рублей</w:t>
      </w:r>
      <w:r w:rsidRPr="00227C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бюджетных средств обеспечивается реализация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задача</w:t>
      </w:r>
      <w:r w:rsidR="006F50AA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</w:t>
      </w:r>
      <w:r w:rsidR="006F50AA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обеспечение реализации прав детей различных категорий на получение общедоступного и качественного бесплатного общего образования в полном соответствии с требованиями федеральных государственных образовательных стандартов, развитие инфраструктуры, интеграции деятельности образовательных организаций, обеспечивающих равную доступность и повышение охвата детей услугами дополнительного образования. </w:t>
      </w:r>
    </w:p>
    <w:p w:rsidR="00E23306" w:rsidRPr="000058B9" w:rsidRDefault="00E23306" w:rsidP="00227CA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июля 2024 года дошкольные и общеобразовательные учреждения муниципального округа переданы под управление Министерства</w:t>
      </w:r>
      <w:r w:rsidR="00E7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Донецкой Народной Республики</w:t>
      </w:r>
      <w:r w:rsidR="00B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13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муниципальных образований в соответствии с </w:t>
      </w:r>
      <w:r w:rsidR="00B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>Закон</w:t>
      </w:r>
      <w:r w:rsidR="001329E2">
        <w:rPr>
          <w:rFonts w:ascii="PT Sans" w:hAnsi="PT Sans"/>
          <w:color w:val="333333"/>
          <w:sz w:val="30"/>
          <w:szCs w:val="30"/>
          <w:shd w:val="clear" w:color="auto" w:fill="FFFFFF"/>
        </w:rPr>
        <w:t>ом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Донецкой Народной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lastRenderedPageBreak/>
        <w:t>Республики</w:t>
      </w:r>
      <w:r w:rsidR="008C5FDD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>от</w:t>
      </w:r>
      <w:r w:rsidR="008C5FDD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>07.06.2024</w:t>
      </w:r>
      <w:r w:rsidR="008C5FDD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>№80-РЗ</w:t>
      </w:r>
      <w:r w:rsidR="008C5FDD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</w:t>
      </w:r>
      <w:r w:rsidR="00BE2E19">
        <w:rPr>
          <w:rFonts w:ascii="PT Sans" w:hAnsi="PT Sans"/>
          <w:color w:val="333333"/>
          <w:sz w:val="30"/>
          <w:szCs w:val="30"/>
          <w:shd w:val="clear" w:color="auto" w:fill="FFFFFF"/>
        </w:rPr>
        <w:t>"О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</w:t>
      </w:r>
      <w:r w:rsidR="001329E2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наделены полномочиями </w:t>
      </w:r>
      <w:r w:rsidR="00377887">
        <w:rPr>
          <w:rFonts w:ascii="PT Sans" w:hAnsi="PT Sans"/>
          <w:color w:val="333333"/>
          <w:sz w:val="30"/>
          <w:szCs w:val="30"/>
          <w:shd w:val="clear" w:color="auto" w:fill="FFFFFF"/>
        </w:rPr>
        <w:t>по осуществлению финансового обеспечения выполнения государственного задания по обеспечению получения начального общего, основного общего, среднего общего образования.</w:t>
      </w:r>
    </w:p>
    <w:p w:rsidR="00C43988" w:rsidRPr="000058B9" w:rsidRDefault="00C43988" w:rsidP="00B32E8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434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производились </w:t>
      </w:r>
      <w:r w:rsidRPr="00005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на реализацию следующих мероприятий</w:t>
      </w:r>
      <w:r w:rsidR="00254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сфере образования</w:t>
      </w:r>
      <w:r w:rsidRPr="00005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42F76" w:rsidRPr="00AB284C" w:rsidRDefault="00242F76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284C">
        <w:rPr>
          <w:bCs/>
          <w:iCs/>
          <w:sz w:val="28"/>
          <w:szCs w:val="28"/>
        </w:rPr>
        <w:t>обеспечение деятельности муниципальных</w:t>
      </w:r>
      <w:r w:rsidR="007B2B09">
        <w:rPr>
          <w:bCs/>
          <w:iCs/>
          <w:sz w:val="28"/>
          <w:szCs w:val="28"/>
        </w:rPr>
        <w:t>/ государственных</w:t>
      </w:r>
      <w:r w:rsidRPr="00AB284C">
        <w:rPr>
          <w:bCs/>
          <w:iCs/>
          <w:sz w:val="28"/>
          <w:szCs w:val="28"/>
        </w:rPr>
        <w:t xml:space="preserve"> учреждений - дошкольные образовательные организации </w:t>
      </w:r>
      <w:r w:rsidRPr="00AB284C">
        <w:rPr>
          <w:sz w:val="28"/>
          <w:szCs w:val="28"/>
        </w:rPr>
        <w:t>в сумме 1</w:t>
      </w:r>
      <w:r w:rsidR="007B2B09">
        <w:rPr>
          <w:sz w:val="28"/>
          <w:szCs w:val="28"/>
        </w:rPr>
        <w:t>54,577</w:t>
      </w:r>
      <w:r w:rsidRPr="00AB284C">
        <w:rPr>
          <w:sz w:val="28"/>
          <w:szCs w:val="28"/>
        </w:rPr>
        <w:t xml:space="preserve"> млн. рублей, или </w:t>
      </w:r>
      <w:r w:rsidR="007B2B09">
        <w:rPr>
          <w:sz w:val="28"/>
          <w:szCs w:val="28"/>
        </w:rPr>
        <w:t>99,1</w:t>
      </w:r>
      <w:r w:rsidRPr="00AB284C">
        <w:rPr>
          <w:sz w:val="28"/>
          <w:szCs w:val="28"/>
        </w:rPr>
        <w:t>% к плановым назначениям;</w:t>
      </w:r>
    </w:p>
    <w:p w:rsidR="002D54F6" w:rsidRPr="00AB284C" w:rsidRDefault="00242F76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284C">
        <w:rPr>
          <w:bCs/>
          <w:iCs/>
          <w:sz w:val="28"/>
          <w:szCs w:val="28"/>
        </w:rPr>
        <w:t>обеспечение деятельности (оказание услуг) муниципальных учреждений - общеобразовательные организации, оказывающие услуги начального общего, основного общего, среднего общего образования</w:t>
      </w:r>
      <w:r w:rsidR="002D54F6" w:rsidRPr="00AB284C">
        <w:rPr>
          <w:bCs/>
          <w:iCs/>
          <w:sz w:val="28"/>
          <w:szCs w:val="28"/>
        </w:rPr>
        <w:t xml:space="preserve"> </w:t>
      </w:r>
      <w:r w:rsidR="002D54F6" w:rsidRPr="00AB284C">
        <w:rPr>
          <w:sz w:val="28"/>
          <w:szCs w:val="28"/>
        </w:rPr>
        <w:t xml:space="preserve">в сумме </w:t>
      </w:r>
      <w:r w:rsidR="007B2B09">
        <w:rPr>
          <w:sz w:val="28"/>
          <w:szCs w:val="28"/>
        </w:rPr>
        <w:t>342,455</w:t>
      </w:r>
      <w:r w:rsidR="002D54F6" w:rsidRPr="00AB284C">
        <w:rPr>
          <w:sz w:val="28"/>
          <w:szCs w:val="28"/>
        </w:rPr>
        <w:t xml:space="preserve"> млн. рублей, или 9</w:t>
      </w:r>
      <w:r w:rsidR="00C207DA">
        <w:rPr>
          <w:sz w:val="28"/>
          <w:szCs w:val="28"/>
        </w:rPr>
        <w:t>8,7</w:t>
      </w:r>
      <w:r w:rsidR="002D54F6" w:rsidRPr="00AB284C">
        <w:rPr>
          <w:sz w:val="28"/>
          <w:szCs w:val="28"/>
        </w:rPr>
        <w:t>% к плановым назначениям;</w:t>
      </w:r>
    </w:p>
    <w:p w:rsidR="00DC6D91" w:rsidRPr="00AB284C" w:rsidRDefault="00DC6D91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284C">
        <w:rPr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</w:t>
      </w:r>
      <w:r w:rsidR="00C207DA">
        <w:rPr>
          <w:sz w:val="28"/>
          <w:szCs w:val="28"/>
        </w:rPr>
        <w:t>вательных организаций в сумме 23,181</w:t>
      </w:r>
      <w:r w:rsidRPr="00AB284C">
        <w:rPr>
          <w:sz w:val="28"/>
          <w:szCs w:val="28"/>
        </w:rPr>
        <w:t xml:space="preserve"> млн. рублей, или </w:t>
      </w:r>
      <w:r w:rsidR="00C207DA">
        <w:rPr>
          <w:sz w:val="28"/>
          <w:szCs w:val="28"/>
        </w:rPr>
        <w:t>99,4</w:t>
      </w:r>
      <w:r w:rsidRPr="00AB284C">
        <w:rPr>
          <w:sz w:val="28"/>
          <w:szCs w:val="28"/>
        </w:rPr>
        <w:t>% к плановым назначениям;</w:t>
      </w:r>
    </w:p>
    <w:p w:rsidR="002D54F6" w:rsidRPr="00AB284C" w:rsidRDefault="002D54F6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B284C">
        <w:rPr>
          <w:sz w:val="28"/>
          <w:szCs w:val="28"/>
        </w:rPr>
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в сумме </w:t>
      </w:r>
      <w:r w:rsidR="00C207DA">
        <w:rPr>
          <w:sz w:val="28"/>
          <w:szCs w:val="28"/>
        </w:rPr>
        <w:t>4,903 млн. рублей, или 89,8</w:t>
      </w:r>
      <w:r w:rsidRPr="00AB284C">
        <w:rPr>
          <w:sz w:val="28"/>
          <w:szCs w:val="28"/>
        </w:rPr>
        <w:t>% к плановым назначениям</w:t>
      </w:r>
      <w:r w:rsidR="00C207DA">
        <w:rPr>
          <w:sz w:val="28"/>
          <w:szCs w:val="28"/>
        </w:rPr>
        <w:t xml:space="preserve"> (средства не освоены в полном объеме в связи с карантинными мероприятиями)</w:t>
      </w:r>
      <w:r w:rsidRPr="00AB284C">
        <w:rPr>
          <w:sz w:val="28"/>
          <w:szCs w:val="28"/>
        </w:rPr>
        <w:t>;</w:t>
      </w:r>
    </w:p>
    <w:p w:rsidR="00533408" w:rsidRDefault="00C207DA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ежемесячного денежного вознаграждения советникам</w:t>
      </w:r>
      <w:r w:rsidR="00533408" w:rsidRPr="00AB284C">
        <w:rPr>
          <w:sz w:val="28"/>
          <w:szCs w:val="28"/>
        </w:rPr>
        <w:t xml:space="preserve"> директора по воспитанию и взаимодействию с детскими о</w:t>
      </w:r>
      <w:r>
        <w:rPr>
          <w:sz w:val="28"/>
          <w:szCs w:val="28"/>
        </w:rPr>
        <w:t xml:space="preserve">бщественными объединениями государственных </w:t>
      </w:r>
      <w:r w:rsidR="00533408" w:rsidRPr="00AB284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</w:t>
      </w:r>
      <w:r w:rsidR="00533408" w:rsidRPr="00AB2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субъектов </w:t>
      </w:r>
      <w:r w:rsidR="0088209D" w:rsidRPr="00AB284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г. Байконура и федеральной территории «</w:t>
      </w:r>
      <w:r w:rsidR="00B154FC">
        <w:rPr>
          <w:sz w:val="28"/>
          <w:szCs w:val="28"/>
        </w:rPr>
        <w:t>Сириус</w:t>
      </w:r>
      <w:r>
        <w:rPr>
          <w:sz w:val="28"/>
          <w:szCs w:val="28"/>
        </w:rPr>
        <w:t>»</w:t>
      </w:r>
      <w:r w:rsidR="00B154FC">
        <w:rPr>
          <w:sz w:val="28"/>
          <w:szCs w:val="28"/>
        </w:rPr>
        <w:t>, муниципальных общеобразовательных организаций и профессиональных образовательных организаций</w:t>
      </w:r>
      <w:r w:rsidR="00533408" w:rsidRPr="00AB284C">
        <w:rPr>
          <w:sz w:val="28"/>
          <w:szCs w:val="28"/>
        </w:rPr>
        <w:t xml:space="preserve"> в сумме </w:t>
      </w:r>
      <w:r w:rsidR="00B154FC">
        <w:rPr>
          <w:sz w:val="28"/>
          <w:szCs w:val="28"/>
        </w:rPr>
        <w:t>0,267</w:t>
      </w:r>
      <w:r w:rsidR="00A4569D">
        <w:rPr>
          <w:sz w:val="28"/>
          <w:szCs w:val="28"/>
        </w:rPr>
        <w:t xml:space="preserve"> млн</w:t>
      </w:r>
      <w:r w:rsidR="009428F5" w:rsidRPr="00AB284C">
        <w:rPr>
          <w:sz w:val="28"/>
          <w:szCs w:val="28"/>
        </w:rPr>
        <w:t>.</w:t>
      </w:r>
      <w:r w:rsidR="00533408" w:rsidRPr="00AB284C">
        <w:rPr>
          <w:sz w:val="28"/>
          <w:szCs w:val="28"/>
        </w:rPr>
        <w:t xml:space="preserve"> рублей, или </w:t>
      </w:r>
      <w:r w:rsidR="00A4569D">
        <w:rPr>
          <w:sz w:val="28"/>
          <w:szCs w:val="28"/>
        </w:rPr>
        <w:t>73,1</w:t>
      </w:r>
      <w:r w:rsidR="00533408" w:rsidRPr="00AB284C">
        <w:rPr>
          <w:sz w:val="28"/>
          <w:szCs w:val="28"/>
        </w:rPr>
        <w:t>% к  плановым назначениям</w:t>
      </w:r>
      <w:r w:rsidR="00A4569D">
        <w:rPr>
          <w:sz w:val="28"/>
          <w:szCs w:val="28"/>
        </w:rPr>
        <w:t>, что обусловлено наличием вакантных должностей  советников директоров в учреждениях;</w:t>
      </w:r>
    </w:p>
    <w:p w:rsidR="00A4569D" w:rsidRPr="00AB284C" w:rsidRDefault="00A4569D" w:rsidP="00706DF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государственных и муниципальных образовательных организаций вооруженной охраной в сумме 74,427 млн.</w:t>
      </w:r>
      <w:r w:rsidR="00A70D4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A70D40">
        <w:rPr>
          <w:sz w:val="28"/>
          <w:szCs w:val="28"/>
        </w:rPr>
        <w:t>, или 100% к плановым назначениям.</w:t>
      </w:r>
    </w:p>
    <w:p w:rsidR="00C43988" w:rsidRDefault="00A70D40" w:rsidP="00AB284C">
      <w:pPr>
        <w:tabs>
          <w:tab w:val="left" w:pos="3402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финансовое обеспечение деятельности организаций дополнительного образования 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AA50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дусматривались расходы в сумме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12,610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кассовое исполнение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11,383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DE0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назначениям.</w:t>
      </w:r>
      <w:r w:rsidR="0070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Неосвоение бюджета в сумме 1,226 млн. рублей обусловлено наличием 3,67 единиц вакантных должностей педагогических работников (1,024 млн.руб.) и непроведенной контрактацией работ и услуг в связи с отсутствием руководителя учреждения.</w:t>
      </w:r>
    </w:p>
    <w:p w:rsidR="00A70D40" w:rsidRPr="000058B9" w:rsidRDefault="00A70D40" w:rsidP="00AB284C">
      <w:pPr>
        <w:tabs>
          <w:tab w:val="left" w:pos="3402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988" w:rsidRPr="000058B9" w:rsidRDefault="00706DF2" w:rsidP="00BB2C42">
      <w:pPr>
        <w:tabs>
          <w:tab w:val="left" w:pos="1560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«Другие вопросы</w:t>
      </w:r>
      <w:r w:rsidR="00BB2C42" w:rsidRP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</w:t>
      </w:r>
      <w:r w:rsidRP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образования»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предусматривались расходы на о</w:t>
      </w:r>
      <w:r w:rsidR="00C43988" w:rsidRPr="00005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беспечение деятельности </w:t>
      </w:r>
      <w:r w:rsidR="00BB2C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отдела</w:t>
      </w:r>
      <w:r w:rsidR="00C43988" w:rsidRPr="00005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образования </w:t>
      </w:r>
      <w:r w:rsidR="00BB2C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Тельмановского муниципального округа</w:t>
      </w:r>
      <w:r w:rsidR="00C43988" w:rsidRPr="000058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  </w:t>
      </w:r>
      <w:r w:rsid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25,536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рублей, кассовое исполнение составило </w:t>
      </w:r>
      <w:r w:rsid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25,477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рублей</w:t>
      </w:r>
      <w:r w:rsidR="00DE0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9</w:t>
      </w:r>
      <w:r w:rsidR="00BB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9,8</w:t>
      </w:r>
      <w:r w:rsidR="00C43988" w:rsidRPr="0000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плановым назначениям. </w:t>
      </w:r>
    </w:p>
    <w:p w:rsidR="00C43988" w:rsidRPr="00AB284C" w:rsidRDefault="00C43988" w:rsidP="00AB284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988" w:rsidRPr="007E7F18" w:rsidRDefault="00C43988" w:rsidP="00AB28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7E7F18" w:rsidRDefault="00BB2C42" w:rsidP="007E7F1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7153B">
        <w:rPr>
          <w:rFonts w:ascii="Times New Roman" w:eastAsia="Calibri" w:hAnsi="Times New Roman" w:cs="Times New Roman"/>
          <w:b/>
          <w:sz w:val="28"/>
          <w:szCs w:val="28"/>
        </w:rPr>
        <w:t>ультура,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05D3">
        <w:rPr>
          <w:rFonts w:ascii="Times New Roman" w:eastAsia="Calibri" w:hAnsi="Times New Roman" w:cs="Times New Roman"/>
          <w:b/>
          <w:sz w:val="28"/>
          <w:szCs w:val="28"/>
        </w:rPr>
        <w:t>кинематография</w:t>
      </w:r>
    </w:p>
    <w:p w:rsidR="00F7153B" w:rsidRDefault="00F7153B" w:rsidP="0016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содержание учреждений культуры и проведение культурно-массовых мероприятий в бюджете Тельмановского муниципального округа на 2024 год было утверждено 118,308 млн. рублей. Фактические расходы за отчетный период проведены на сумму 116,032 млн. рублей. Исполнение плановых назначений 98,1%.</w:t>
      </w:r>
    </w:p>
    <w:p w:rsidR="0016746F" w:rsidRDefault="0016746F" w:rsidP="0016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полугодии учреждения культуры финансировались по бюджетным сметам казенных учреждений, во втором полугодии, как бюджетным учреждениям централизованной библиотечной сети, клубным учреждениям и музыкальной школе выделялись субсидии на оплату труда персонала и на финансовое обеспечение деятельности (за исключением оплаты труда персонала).</w:t>
      </w:r>
      <w:r w:rsidR="00ED5E3A">
        <w:rPr>
          <w:rFonts w:ascii="Times New Roman" w:eastAsia="Calibri" w:hAnsi="Times New Roman" w:cs="Times New Roman"/>
          <w:sz w:val="28"/>
          <w:szCs w:val="28"/>
        </w:rPr>
        <w:t xml:space="preserve"> Субсидии </w:t>
      </w:r>
      <w:r w:rsidR="00217A93">
        <w:rPr>
          <w:rFonts w:ascii="Times New Roman" w:eastAsia="Calibri" w:hAnsi="Times New Roman" w:cs="Times New Roman"/>
          <w:sz w:val="28"/>
          <w:szCs w:val="28"/>
        </w:rPr>
        <w:t xml:space="preserve">на иные цели </w:t>
      </w:r>
      <w:r w:rsidR="00ED5E3A">
        <w:rPr>
          <w:rFonts w:ascii="Times New Roman" w:eastAsia="Calibri" w:hAnsi="Times New Roman" w:cs="Times New Roman"/>
          <w:sz w:val="28"/>
          <w:szCs w:val="28"/>
        </w:rPr>
        <w:t xml:space="preserve">использованы </w:t>
      </w:r>
      <w:r w:rsidR="00217A93">
        <w:rPr>
          <w:rFonts w:ascii="Times New Roman" w:eastAsia="Calibri" w:hAnsi="Times New Roman" w:cs="Times New Roman"/>
          <w:sz w:val="28"/>
          <w:szCs w:val="28"/>
        </w:rPr>
        <w:t>в сумме 4,563 млн.</w:t>
      </w:r>
      <w:r w:rsidR="0072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93">
        <w:rPr>
          <w:rFonts w:ascii="Times New Roman" w:eastAsia="Calibri" w:hAnsi="Times New Roman" w:cs="Times New Roman"/>
          <w:sz w:val="28"/>
          <w:szCs w:val="28"/>
        </w:rPr>
        <w:t>руб. или на 74,1% плановых назначений. Остаток лимитных назначений 1,598 млн.</w:t>
      </w:r>
      <w:r w:rsidR="0072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93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217A93" w:rsidRDefault="00217A93" w:rsidP="0016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использованы средства, выделенные на проведение культурно-массовых мероприятий. О</w:t>
      </w:r>
      <w:r w:rsidR="007276BC">
        <w:rPr>
          <w:rFonts w:ascii="Times New Roman" w:eastAsia="Calibri" w:hAnsi="Times New Roman" w:cs="Times New Roman"/>
          <w:sz w:val="28"/>
          <w:szCs w:val="28"/>
        </w:rPr>
        <w:t>своено 0,234 млн. руб. из 0,629 млн. руб. в связи с ограничением проведения массовых мероприятий.</w:t>
      </w:r>
    </w:p>
    <w:p w:rsidR="007276BC" w:rsidRDefault="007276BC" w:rsidP="0016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программы развития сети учреждений культурно-досугового типа проведен ремонт Чермалыкского сельского Дома культуры на сумму 33,369 млн. рублей.</w:t>
      </w:r>
    </w:p>
    <w:p w:rsidR="007276BC" w:rsidRPr="00F7153B" w:rsidRDefault="007276BC" w:rsidP="0016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программе обеспечения развития и укрепления материально-технической базы домов культуры в </w:t>
      </w:r>
      <w:r w:rsidR="00D56838">
        <w:rPr>
          <w:rFonts w:ascii="Times New Roman" w:eastAsia="Calibri" w:hAnsi="Times New Roman" w:cs="Times New Roman"/>
          <w:sz w:val="28"/>
          <w:szCs w:val="28"/>
        </w:rPr>
        <w:t>населенных пунктах с числом жите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="00D56838">
        <w:rPr>
          <w:rFonts w:ascii="Times New Roman" w:eastAsia="Calibri" w:hAnsi="Times New Roman" w:cs="Times New Roman"/>
          <w:sz w:val="28"/>
          <w:szCs w:val="28"/>
        </w:rPr>
        <w:t xml:space="preserve"> до 50 тысяч человек в сумме 10,101 млн. руб. выполнены ремонтные работы в районном Доме культуры и приобретена одежда сцены для Гранитненского СДК.</w:t>
      </w:r>
    </w:p>
    <w:p w:rsidR="0046532C" w:rsidRPr="00A03B91" w:rsidRDefault="00A03B91" w:rsidP="00A03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B91">
        <w:rPr>
          <w:rFonts w:ascii="Times New Roman" w:eastAsia="Calibri" w:hAnsi="Times New Roman" w:cs="Times New Roman"/>
          <w:sz w:val="28"/>
          <w:szCs w:val="28"/>
        </w:rPr>
        <w:t xml:space="preserve"> На обеспечение деятельности централизованной бухгалтерии отдела культуры </w:t>
      </w:r>
      <w:r>
        <w:rPr>
          <w:rFonts w:ascii="Times New Roman" w:eastAsia="Calibri" w:hAnsi="Times New Roman" w:cs="Times New Roman"/>
          <w:sz w:val="28"/>
          <w:szCs w:val="28"/>
        </w:rPr>
        <w:t>в 2024 году использовано 6,059 млн.</w:t>
      </w:r>
      <w:r w:rsidR="007B2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 или 98,1% выделенных лимитов.</w:t>
      </w:r>
    </w:p>
    <w:p w:rsidR="0046532C" w:rsidRDefault="0046532C" w:rsidP="007E7F1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и спорт</w:t>
      </w:r>
    </w:p>
    <w:p w:rsidR="007E7F18" w:rsidRPr="007E7F18" w:rsidRDefault="007E7F18" w:rsidP="007E7F1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43988" w:rsidRDefault="00A03B91" w:rsidP="003B619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муниципального бюджета содержатся две детско-юношеских спортивных школы, стадион «Гранит». </w:t>
      </w:r>
      <w:r w:rsidR="00D402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</w:t>
      </w:r>
      <w:r w:rsidR="00D402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спорта и содержание муниципальных учреждений 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 средства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5,075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кассовое исполнение составило 21,504 млн. рублей или 142,7</w:t>
      </w:r>
      <w:r w:rsidR="00C43988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назначениям.</w:t>
      </w:r>
      <w:r w:rsidR="00D4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превышает плановые назначения за счет использования остатков средств от платных услуг и иной приносящей доход деятельности, грантов (в том числе в виде субсидий) при проведении ремонтных работ в районной спортивной школе в сумме 8,359 млн. руб.</w:t>
      </w:r>
    </w:p>
    <w:p w:rsidR="00D4024B" w:rsidRPr="000058B9" w:rsidRDefault="00D4024B" w:rsidP="003B619A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школы получили в 2024 году адресную финансовую поддержку организаций, входящих в систему спортивной подготовки (муниципальные учреждения) в сумме 0,985 млн.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использована для приобретения спортивного оборудования и инвентаря.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988" w:rsidRPr="003B619A" w:rsidRDefault="00C43988" w:rsidP="003B619A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99131D" w:rsidRPr="00DB4968" w:rsidRDefault="0099131D" w:rsidP="000236D1">
      <w:pPr>
        <w:tabs>
          <w:tab w:val="left" w:pos="0"/>
          <w:tab w:val="left" w:pos="284"/>
        </w:tabs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DB4968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Источники финансирования дефицита бюджета </w:t>
      </w:r>
      <w:r w:rsidRPr="00DB4968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в 202</w:t>
      </w:r>
      <w:r w:rsidR="002A01E8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4</w:t>
      </w:r>
      <w:r w:rsidR="000236D1" w:rsidRPr="00DB4968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году</w:t>
      </w:r>
    </w:p>
    <w:p w:rsidR="0099131D" w:rsidRPr="000058B9" w:rsidRDefault="0099131D" w:rsidP="008B4E6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Тельмановский муниципальный округ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исполнены в объемах  согласно Приложению 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5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1D" w:rsidRPr="000058B9" w:rsidRDefault="0099131D" w:rsidP="008B4E62">
      <w:pPr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фактическому исполнению на 01.01.202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профицит  бюджета  в размере </w:t>
      </w:r>
      <w:r w:rsidR="002A01E8">
        <w:rPr>
          <w:rFonts w:ascii="Times New Roman" w:eastAsia="Times New Roman" w:hAnsi="Times New Roman" w:cs="Times New Roman"/>
          <w:sz w:val="28"/>
          <w:szCs w:val="28"/>
          <w:lang w:eastAsia="ru-RU"/>
        </w:rPr>
        <w:t>51 033 278,01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</w:t>
      </w:r>
    </w:p>
    <w:p w:rsidR="0099131D" w:rsidRPr="000058B9" w:rsidRDefault="0099131D" w:rsidP="008B4E6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Остатки средств местного бюджета отражены в балансе исполнения                          бюджета </w:t>
      </w:r>
      <w:r w:rsidR="00DE7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Тельмановского муниципального округа</w:t>
      </w:r>
      <w:r w:rsidR="0016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01.01.2025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 сумме </w:t>
      </w:r>
      <w:r w:rsidR="00DE7C40">
        <w:rPr>
          <w:rFonts w:ascii="Times New Roman" w:eastAsia="Times New Roman" w:hAnsi="Times New Roman" w:cs="Times New Roman"/>
          <w:sz w:val="28"/>
          <w:szCs w:val="28"/>
          <w:lang w:eastAsia="ru-RU"/>
        </w:rPr>
        <w:t>51 033 278,01</w:t>
      </w:r>
      <w:r w:rsidR="00DE7C40"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131D" w:rsidRDefault="0099131D" w:rsidP="008B4E62">
      <w:pPr>
        <w:tabs>
          <w:tab w:val="left" w:pos="0"/>
          <w:tab w:val="left" w:pos="28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изменения остатков средств бюджета представлена в Таблице:</w:t>
      </w:r>
    </w:p>
    <w:p w:rsidR="008B4E62" w:rsidRDefault="008B4E62" w:rsidP="008B4E62">
      <w:pPr>
        <w:tabs>
          <w:tab w:val="left" w:pos="0"/>
          <w:tab w:val="left" w:pos="284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2126"/>
      </w:tblGrid>
      <w:tr w:rsidR="00F86D36" w:rsidRPr="000058B9" w:rsidTr="00C15F66">
        <w:trPr>
          <w:trHeight w:val="513"/>
        </w:trPr>
        <w:tc>
          <w:tcPr>
            <w:tcW w:w="4111" w:type="dxa"/>
            <w:shd w:val="clear" w:color="auto" w:fill="FFFFFF"/>
          </w:tcPr>
          <w:p w:rsidR="0099131D" w:rsidRPr="000236D1" w:rsidRDefault="0099131D" w:rsidP="00005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 </w:t>
            </w:r>
          </w:p>
        </w:tc>
        <w:tc>
          <w:tcPr>
            <w:tcW w:w="1985" w:type="dxa"/>
            <w:shd w:val="clear" w:color="auto" w:fill="FFFFFF"/>
            <w:hideMark/>
          </w:tcPr>
          <w:p w:rsidR="008B4E62" w:rsidRPr="000236D1" w:rsidRDefault="000058B9" w:rsidP="008B4E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31D"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на</w:t>
            </w: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31D"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E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hideMark/>
          </w:tcPr>
          <w:p w:rsidR="0099131D" w:rsidRPr="000236D1" w:rsidRDefault="0099131D" w:rsidP="00005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на</w:t>
            </w:r>
            <w:r w:rsidR="000058B9"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E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99131D" w:rsidRPr="000236D1" w:rsidRDefault="0099131D" w:rsidP="00320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r w:rsidR="000058B9"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статков средств </w:t>
            </w:r>
            <w:r w:rsidR="00F86D36" w:rsidRPr="0002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</w:tr>
      <w:tr w:rsidR="007B2003" w:rsidRPr="000058B9" w:rsidTr="00DE7C40">
        <w:trPr>
          <w:trHeight w:val="401"/>
        </w:trPr>
        <w:tc>
          <w:tcPr>
            <w:tcW w:w="4111" w:type="dxa"/>
            <w:shd w:val="clear" w:color="auto" w:fill="FFFFFF"/>
            <w:hideMark/>
          </w:tcPr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49 053 413,71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49 053 413,71</w:t>
            </w:r>
          </w:p>
        </w:tc>
      </w:tr>
      <w:tr w:rsidR="007B2003" w:rsidRPr="000058B9" w:rsidTr="00DE7C40">
        <w:trPr>
          <w:trHeight w:val="401"/>
        </w:trPr>
        <w:tc>
          <w:tcPr>
            <w:tcW w:w="4111" w:type="dxa"/>
            <w:shd w:val="clear" w:color="auto" w:fill="FFFFFF"/>
          </w:tcPr>
          <w:p w:rsidR="007B2003" w:rsidRPr="00BD66E6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Дорожного фонда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BD66E6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4682446,82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BD66E6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6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4682446,82</w:t>
            </w:r>
          </w:p>
        </w:tc>
      </w:tr>
      <w:tr w:rsidR="007B2003" w:rsidRPr="000058B9" w:rsidTr="00DE7C40">
        <w:trPr>
          <w:trHeight w:val="529"/>
        </w:trPr>
        <w:tc>
          <w:tcPr>
            <w:tcW w:w="4111" w:type="dxa"/>
            <w:shd w:val="clear" w:color="auto" w:fill="FFFFFF"/>
            <w:hideMark/>
          </w:tcPr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</w:t>
            </w:r>
          </w:p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1 979 864,30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1 979 864,30</w:t>
            </w:r>
          </w:p>
        </w:tc>
      </w:tr>
      <w:tr w:rsidR="007B2003" w:rsidRPr="000058B9" w:rsidTr="00C15F66">
        <w:trPr>
          <w:trHeight w:val="275"/>
        </w:trPr>
        <w:tc>
          <w:tcPr>
            <w:tcW w:w="4111" w:type="dxa"/>
            <w:shd w:val="clear" w:color="auto" w:fill="FFFFFF"/>
          </w:tcPr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893763,43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893763,43</w:t>
            </w:r>
          </w:p>
        </w:tc>
      </w:tr>
      <w:tr w:rsidR="007B2003" w:rsidRPr="000058B9" w:rsidTr="00C15F66">
        <w:trPr>
          <w:trHeight w:val="298"/>
        </w:trPr>
        <w:tc>
          <w:tcPr>
            <w:tcW w:w="4111" w:type="dxa"/>
            <w:shd w:val="clear" w:color="auto" w:fill="FFFFFF"/>
          </w:tcPr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1086100,87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1086100,87</w:t>
            </w:r>
          </w:p>
        </w:tc>
      </w:tr>
      <w:tr w:rsidR="007B2003" w:rsidRPr="000058B9" w:rsidTr="00DE7C40">
        <w:trPr>
          <w:trHeight w:val="511"/>
        </w:trPr>
        <w:tc>
          <w:tcPr>
            <w:tcW w:w="4111" w:type="dxa"/>
            <w:shd w:val="clear" w:color="auto" w:fill="FFFFFF"/>
            <w:hideMark/>
          </w:tcPr>
          <w:p w:rsidR="007B2003" w:rsidRPr="000058B9" w:rsidRDefault="007B2003" w:rsidP="007B20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остаток бюджетных средств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51 033 278,01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B2003" w:rsidRPr="000058B9" w:rsidRDefault="007B2003" w:rsidP="007B2003">
            <w:pP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51 033 278,01</w:t>
            </w:r>
          </w:p>
        </w:tc>
      </w:tr>
    </w:tbl>
    <w:p w:rsidR="00F6437D" w:rsidRPr="00DB709B" w:rsidRDefault="0099131D" w:rsidP="000236D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4E62" w:rsidRDefault="009435FB" w:rsidP="009435F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B7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Начальник Финансового управления </w:t>
      </w:r>
      <w:r w:rsidR="009B118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        Г.В. Панамарева</w:t>
      </w:r>
    </w:p>
    <w:p w:rsidR="00C43988" w:rsidRPr="00675318" w:rsidRDefault="008B4E62" w:rsidP="009435FB">
      <w:pPr>
        <w:spacing w:before="120" w:after="12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</w:p>
    <w:sectPr w:rsidR="00C43988" w:rsidRPr="00675318" w:rsidSect="00F64445">
      <w:footerReference w:type="default" r:id="rId8"/>
      <w:pgSz w:w="11906" w:h="16838"/>
      <w:pgMar w:top="851" w:right="567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DA" w:rsidRDefault="00BB3BDA" w:rsidP="00EE3D5C">
      <w:pPr>
        <w:spacing w:after="0" w:line="240" w:lineRule="auto"/>
      </w:pPr>
      <w:r>
        <w:separator/>
      </w:r>
    </w:p>
  </w:endnote>
  <w:endnote w:type="continuationSeparator" w:id="0">
    <w:p w:rsidR="00BB3BDA" w:rsidRDefault="00BB3BDA" w:rsidP="00EE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81742"/>
      <w:docPartObj>
        <w:docPartGallery w:val="Page Numbers (Bottom of Page)"/>
        <w:docPartUnique/>
      </w:docPartObj>
    </w:sdtPr>
    <w:sdtEndPr/>
    <w:sdtContent>
      <w:p w:rsidR="00BB3BDA" w:rsidRDefault="00BB3B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03">
          <w:rPr>
            <w:noProof/>
          </w:rPr>
          <w:t>11</w:t>
        </w:r>
        <w:r>
          <w:fldChar w:fldCharType="end"/>
        </w:r>
      </w:p>
    </w:sdtContent>
  </w:sdt>
  <w:p w:rsidR="00BB3BDA" w:rsidRDefault="00BB3B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DA" w:rsidRDefault="00BB3BDA" w:rsidP="00EE3D5C">
      <w:pPr>
        <w:spacing w:after="0" w:line="240" w:lineRule="auto"/>
      </w:pPr>
      <w:r>
        <w:separator/>
      </w:r>
    </w:p>
  </w:footnote>
  <w:footnote w:type="continuationSeparator" w:id="0">
    <w:p w:rsidR="00BB3BDA" w:rsidRDefault="00BB3BDA" w:rsidP="00EE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8E6"/>
    <w:multiLevelType w:val="hybridMultilevel"/>
    <w:tmpl w:val="2D5ECE1E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25B73"/>
    <w:multiLevelType w:val="hybridMultilevel"/>
    <w:tmpl w:val="06E24FBA"/>
    <w:lvl w:ilvl="0" w:tplc="1616C620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9D6862"/>
    <w:multiLevelType w:val="hybridMultilevel"/>
    <w:tmpl w:val="86CCA488"/>
    <w:lvl w:ilvl="0" w:tplc="1616C620">
      <w:start w:val="1"/>
      <w:numFmt w:val="bullet"/>
      <w:lvlText w:val="-"/>
      <w:lvlJc w:val="left"/>
      <w:pPr>
        <w:ind w:left="560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E7980"/>
    <w:multiLevelType w:val="hybridMultilevel"/>
    <w:tmpl w:val="E968E608"/>
    <w:lvl w:ilvl="0" w:tplc="B8DC55DA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DA23FF8"/>
    <w:multiLevelType w:val="hybridMultilevel"/>
    <w:tmpl w:val="BC48BE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E59213D"/>
    <w:multiLevelType w:val="hybridMultilevel"/>
    <w:tmpl w:val="B4BC01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E629C2"/>
    <w:multiLevelType w:val="hybridMultilevel"/>
    <w:tmpl w:val="7612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610B6"/>
    <w:multiLevelType w:val="hybridMultilevel"/>
    <w:tmpl w:val="8834BE26"/>
    <w:lvl w:ilvl="0" w:tplc="1616C620">
      <w:start w:val="1"/>
      <w:numFmt w:val="bullet"/>
      <w:lvlText w:val="-"/>
      <w:lvlJc w:val="left"/>
      <w:pPr>
        <w:ind w:left="2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FE0100"/>
    <w:multiLevelType w:val="hybridMultilevel"/>
    <w:tmpl w:val="FEC69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474B9B"/>
    <w:multiLevelType w:val="hybridMultilevel"/>
    <w:tmpl w:val="7A4E967C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F525CA"/>
    <w:multiLevelType w:val="hybridMultilevel"/>
    <w:tmpl w:val="ECDEB608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044E30"/>
    <w:multiLevelType w:val="hybridMultilevel"/>
    <w:tmpl w:val="7FF68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945E61"/>
    <w:multiLevelType w:val="hybridMultilevel"/>
    <w:tmpl w:val="0CD8F790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B84951"/>
    <w:multiLevelType w:val="hybridMultilevel"/>
    <w:tmpl w:val="EC84083A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900E71"/>
    <w:multiLevelType w:val="hybridMultilevel"/>
    <w:tmpl w:val="7806F214"/>
    <w:lvl w:ilvl="0" w:tplc="1616C620">
      <w:start w:val="1"/>
      <w:numFmt w:val="bullet"/>
      <w:lvlText w:val="-"/>
      <w:lvlJc w:val="left"/>
      <w:pPr>
        <w:ind w:left="92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A595BBA"/>
    <w:multiLevelType w:val="hybridMultilevel"/>
    <w:tmpl w:val="55A04DD2"/>
    <w:lvl w:ilvl="0" w:tplc="FB4AF19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E615D"/>
    <w:multiLevelType w:val="hybridMultilevel"/>
    <w:tmpl w:val="D57C7C00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A0FE0"/>
    <w:multiLevelType w:val="hybridMultilevel"/>
    <w:tmpl w:val="8AE0522E"/>
    <w:lvl w:ilvl="0" w:tplc="1616C620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4C36609"/>
    <w:multiLevelType w:val="hybridMultilevel"/>
    <w:tmpl w:val="39CE20EC"/>
    <w:lvl w:ilvl="0" w:tplc="1616C6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C1E86"/>
    <w:multiLevelType w:val="hybridMultilevel"/>
    <w:tmpl w:val="6C789F24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CB5878"/>
    <w:multiLevelType w:val="hybridMultilevel"/>
    <w:tmpl w:val="7FAEABE0"/>
    <w:lvl w:ilvl="0" w:tplc="1616C620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334D9C"/>
    <w:multiLevelType w:val="hybridMultilevel"/>
    <w:tmpl w:val="4446C73C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485A2C"/>
    <w:multiLevelType w:val="hybridMultilevel"/>
    <w:tmpl w:val="4538FFD0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CF6785"/>
    <w:multiLevelType w:val="hybridMultilevel"/>
    <w:tmpl w:val="5E2AF524"/>
    <w:lvl w:ilvl="0" w:tplc="29EA5F20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4E3053D7"/>
    <w:multiLevelType w:val="hybridMultilevel"/>
    <w:tmpl w:val="6504B860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44352D"/>
    <w:multiLevelType w:val="hybridMultilevel"/>
    <w:tmpl w:val="7060B1C8"/>
    <w:lvl w:ilvl="0" w:tplc="1616C620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44469AA"/>
    <w:multiLevelType w:val="hybridMultilevel"/>
    <w:tmpl w:val="CCDED9B6"/>
    <w:lvl w:ilvl="0" w:tplc="1616C6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50986"/>
    <w:multiLevelType w:val="hybridMultilevel"/>
    <w:tmpl w:val="FE2A5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CA4F86"/>
    <w:multiLevelType w:val="hybridMultilevel"/>
    <w:tmpl w:val="273C9E96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F14804"/>
    <w:multiLevelType w:val="hybridMultilevel"/>
    <w:tmpl w:val="21005B5E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0810E3"/>
    <w:multiLevelType w:val="hybridMultilevel"/>
    <w:tmpl w:val="180862EC"/>
    <w:lvl w:ilvl="0" w:tplc="041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1" w15:restartNumberingAfterBreak="0">
    <w:nsid w:val="607E156B"/>
    <w:multiLevelType w:val="hybridMultilevel"/>
    <w:tmpl w:val="C2A0FFC8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585E80"/>
    <w:multiLevelType w:val="hybridMultilevel"/>
    <w:tmpl w:val="30905BE4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A12E78"/>
    <w:multiLevelType w:val="hybridMultilevel"/>
    <w:tmpl w:val="2A961826"/>
    <w:lvl w:ilvl="0" w:tplc="1616C620">
      <w:start w:val="1"/>
      <w:numFmt w:val="bullet"/>
      <w:lvlText w:val="-"/>
      <w:lvlJc w:val="left"/>
      <w:pPr>
        <w:ind w:left="1815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4" w15:restartNumberingAfterBreak="0">
    <w:nsid w:val="7B6C338C"/>
    <w:multiLevelType w:val="hybridMultilevel"/>
    <w:tmpl w:val="7B7CE6C2"/>
    <w:lvl w:ilvl="0" w:tplc="1616C62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7"/>
  </w:num>
  <w:num w:numId="5">
    <w:abstractNumId w:val="23"/>
  </w:num>
  <w:num w:numId="6">
    <w:abstractNumId w:val="4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9"/>
  </w:num>
  <w:num w:numId="12">
    <w:abstractNumId w:val="3"/>
  </w:num>
  <w:num w:numId="13">
    <w:abstractNumId w:val="25"/>
  </w:num>
  <w:num w:numId="14">
    <w:abstractNumId w:val="26"/>
  </w:num>
  <w:num w:numId="15">
    <w:abstractNumId w:val="8"/>
  </w:num>
  <w:num w:numId="16">
    <w:abstractNumId w:val="33"/>
  </w:num>
  <w:num w:numId="17">
    <w:abstractNumId w:val="30"/>
  </w:num>
  <w:num w:numId="18">
    <w:abstractNumId w:val="24"/>
  </w:num>
  <w:num w:numId="19">
    <w:abstractNumId w:val="29"/>
  </w:num>
  <w:num w:numId="20">
    <w:abstractNumId w:val="2"/>
  </w:num>
  <w:num w:numId="21">
    <w:abstractNumId w:val="21"/>
  </w:num>
  <w:num w:numId="22">
    <w:abstractNumId w:val="31"/>
  </w:num>
  <w:num w:numId="23">
    <w:abstractNumId w:val="12"/>
  </w:num>
  <w:num w:numId="24">
    <w:abstractNumId w:val="13"/>
  </w:num>
  <w:num w:numId="25">
    <w:abstractNumId w:val="19"/>
  </w:num>
  <w:num w:numId="26">
    <w:abstractNumId w:val="34"/>
  </w:num>
  <w:num w:numId="27">
    <w:abstractNumId w:val="22"/>
  </w:num>
  <w:num w:numId="28">
    <w:abstractNumId w:val="0"/>
  </w:num>
  <w:num w:numId="29">
    <w:abstractNumId w:val="32"/>
  </w:num>
  <w:num w:numId="30">
    <w:abstractNumId w:val="10"/>
  </w:num>
  <w:num w:numId="31">
    <w:abstractNumId w:val="1"/>
  </w:num>
  <w:num w:numId="32">
    <w:abstractNumId w:val="14"/>
  </w:num>
  <w:num w:numId="33">
    <w:abstractNumId w:val="28"/>
  </w:num>
  <w:num w:numId="34">
    <w:abstractNumId w:val="17"/>
  </w:num>
  <w:num w:numId="35">
    <w:abstractNumId w:val="27"/>
  </w:num>
  <w:num w:numId="3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D9"/>
    <w:rsid w:val="00002589"/>
    <w:rsid w:val="000058B9"/>
    <w:rsid w:val="00010638"/>
    <w:rsid w:val="000169D9"/>
    <w:rsid w:val="000236D1"/>
    <w:rsid w:val="00027492"/>
    <w:rsid w:val="00036976"/>
    <w:rsid w:val="000379AD"/>
    <w:rsid w:val="00040016"/>
    <w:rsid w:val="00052C5A"/>
    <w:rsid w:val="000715FA"/>
    <w:rsid w:val="00074504"/>
    <w:rsid w:val="00081803"/>
    <w:rsid w:val="000A1EAB"/>
    <w:rsid w:val="000A6C28"/>
    <w:rsid w:val="000B02A7"/>
    <w:rsid w:val="000C45CE"/>
    <w:rsid w:val="000C5462"/>
    <w:rsid w:val="000C6AE2"/>
    <w:rsid w:val="000D15BC"/>
    <w:rsid w:val="000D2FB1"/>
    <w:rsid w:val="000D58EA"/>
    <w:rsid w:val="000D61E4"/>
    <w:rsid w:val="000D62BE"/>
    <w:rsid w:val="000E1C92"/>
    <w:rsid w:val="000E61CC"/>
    <w:rsid w:val="00100D50"/>
    <w:rsid w:val="00101022"/>
    <w:rsid w:val="0011305F"/>
    <w:rsid w:val="0012002A"/>
    <w:rsid w:val="00125F9E"/>
    <w:rsid w:val="00131848"/>
    <w:rsid w:val="001329E2"/>
    <w:rsid w:val="001625EB"/>
    <w:rsid w:val="00166328"/>
    <w:rsid w:val="0016746F"/>
    <w:rsid w:val="0018469E"/>
    <w:rsid w:val="00192BFF"/>
    <w:rsid w:val="001C4916"/>
    <w:rsid w:val="001D74BB"/>
    <w:rsid w:val="001E0306"/>
    <w:rsid w:val="001E142E"/>
    <w:rsid w:val="001E58FA"/>
    <w:rsid w:val="001E7D98"/>
    <w:rsid w:val="001F532D"/>
    <w:rsid w:val="001F7B66"/>
    <w:rsid w:val="00204522"/>
    <w:rsid w:val="0021275D"/>
    <w:rsid w:val="002149A7"/>
    <w:rsid w:val="0021743F"/>
    <w:rsid w:val="00217A93"/>
    <w:rsid w:val="00222104"/>
    <w:rsid w:val="00227CAD"/>
    <w:rsid w:val="00237498"/>
    <w:rsid w:val="002406C0"/>
    <w:rsid w:val="00242F76"/>
    <w:rsid w:val="00245E79"/>
    <w:rsid w:val="0025434E"/>
    <w:rsid w:val="002562C1"/>
    <w:rsid w:val="00257EEC"/>
    <w:rsid w:val="002623D8"/>
    <w:rsid w:val="00263B0D"/>
    <w:rsid w:val="00267CB9"/>
    <w:rsid w:val="00270300"/>
    <w:rsid w:val="00274805"/>
    <w:rsid w:val="002A01E8"/>
    <w:rsid w:val="002A3017"/>
    <w:rsid w:val="002A46C9"/>
    <w:rsid w:val="002A69F3"/>
    <w:rsid w:val="002B64C4"/>
    <w:rsid w:val="002C5988"/>
    <w:rsid w:val="002D2898"/>
    <w:rsid w:val="002D54F6"/>
    <w:rsid w:val="002D622C"/>
    <w:rsid w:val="002E43AF"/>
    <w:rsid w:val="002F1EC9"/>
    <w:rsid w:val="00312A8C"/>
    <w:rsid w:val="00315C08"/>
    <w:rsid w:val="00317E56"/>
    <w:rsid w:val="003208EC"/>
    <w:rsid w:val="00322E39"/>
    <w:rsid w:val="0033434D"/>
    <w:rsid w:val="00362E0C"/>
    <w:rsid w:val="00365E3F"/>
    <w:rsid w:val="00377887"/>
    <w:rsid w:val="003A0D5F"/>
    <w:rsid w:val="003B13C3"/>
    <w:rsid w:val="003B619A"/>
    <w:rsid w:val="003B7899"/>
    <w:rsid w:val="003E06C0"/>
    <w:rsid w:val="003F02C4"/>
    <w:rsid w:val="0046532C"/>
    <w:rsid w:val="004654DE"/>
    <w:rsid w:val="004740BE"/>
    <w:rsid w:val="00491235"/>
    <w:rsid w:val="004965DF"/>
    <w:rsid w:val="004B3BB9"/>
    <w:rsid w:val="004B485E"/>
    <w:rsid w:val="004B5A2C"/>
    <w:rsid w:val="004C0D6F"/>
    <w:rsid w:val="004C67A9"/>
    <w:rsid w:val="004D34D7"/>
    <w:rsid w:val="004D6F45"/>
    <w:rsid w:val="004E1E59"/>
    <w:rsid w:val="005025F5"/>
    <w:rsid w:val="00516596"/>
    <w:rsid w:val="00517704"/>
    <w:rsid w:val="00520471"/>
    <w:rsid w:val="0052602B"/>
    <w:rsid w:val="00530776"/>
    <w:rsid w:val="00532AFF"/>
    <w:rsid w:val="005331F9"/>
    <w:rsid w:val="00533408"/>
    <w:rsid w:val="00541DA9"/>
    <w:rsid w:val="0054374C"/>
    <w:rsid w:val="00544DCF"/>
    <w:rsid w:val="0054734F"/>
    <w:rsid w:val="0055492C"/>
    <w:rsid w:val="0056568A"/>
    <w:rsid w:val="0058199C"/>
    <w:rsid w:val="00591228"/>
    <w:rsid w:val="005942F8"/>
    <w:rsid w:val="0059487A"/>
    <w:rsid w:val="005A1066"/>
    <w:rsid w:val="005B3084"/>
    <w:rsid w:val="005B3E61"/>
    <w:rsid w:val="005B4291"/>
    <w:rsid w:val="005B6C3B"/>
    <w:rsid w:val="005C7D48"/>
    <w:rsid w:val="005D0B74"/>
    <w:rsid w:val="005D0C5D"/>
    <w:rsid w:val="005E7C1B"/>
    <w:rsid w:val="00605BC5"/>
    <w:rsid w:val="006077F3"/>
    <w:rsid w:val="00610173"/>
    <w:rsid w:val="006132C4"/>
    <w:rsid w:val="00631A3E"/>
    <w:rsid w:val="00647209"/>
    <w:rsid w:val="00660E1C"/>
    <w:rsid w:val="00666E3D"/>
    <w:rsid w:val="00671CED"/>
    <w:rsid w:val="006725CB"/>
    <w:rsid w:val="00675318"/>
    <w:rsid w:val="006A4063"/>
    <w:rsid w:val="006B5DF8"/>
    <w:rsid w:val="006C35FD"/>
    <w:rsid w:val="006D0242"/>
    <w:rsid w:val="006E7DAA"/>
    <w:rsid w:val="006F06D2"/>
    <w:rsid w:val="006F15C0"/>
    <w:rsid w:val="006F50AA"/>
    <w:rsid w:val="006F711D"/>
    <w:rsid w:val="006F7398"/>
    <w:rsid w:val="00706DF2"/>
    <w:rsid w:val="00715621"/>
    <w:rsid w:val="00715B67"/>
    <w:rsid w:val="0072071D"/>
    <w:rsid w:val="00721A90"/>
    <w:rsid w:val="007276BC"/>
    <w:rsid w:val="007305D3"/>
    <w:rsid w:val="00731906"/>
    <w:rsid w:val="00742155"/>
    <w:rsid w:val="00746635"/>
    <w:rsid w:val="00751FFB"/>
    <w:rsid w:val="0075405B"/>
    <w:rsid w:val="00756EFA"/>
    <w:rsid w:val="00764A53"/>
    <w:rsid w:val="007A0201"/>
    <w:rsid w:val="007B2003"/>
    <w:rsid w:val="007B2B09"/>
    <w:rsid w:val="007B63DE"/>
    <w:rsid w:val="007D2796"/>
    <w:rsid w:val="007D3C71"/>
    <w:rsid w:val="007D4C2D"/>
    <w:rsid w:val="007D5440"/>
    <w:rsid w:val="007E6CFE"/>
    <w:rsid w:val="007E7F18"/>
    <w:rsid w:val="007F2FA8"/>
    <w:rsid w:val="00804312"/>
    <w:rsid w:val="00804625"/>
    <w:rsid w:val="00816490"/>
    <w:rsid w:val="00820E80"/>
    <w:rsid w:val="00822CA4"/>
    <w:rsid w:val="00834C42"/>
    <w:rsid w:val="008433A4"/>
    <w:rsid w:val="00857E32"/>
    <w:rsid w:val="00871A47"/>
    <w:rsid w:val="0088209D"/>
    <w:rsid w:val="008870C4"/>
    <w:rsid w:val="0089335B"/>
    <w:rsid w:val="00896EEF"/>
    <w:rsid w:val="008A3F13"/>
    <w:rsid w:val="008A5301"/>
    <w:rsid w:val="008A7D56"/>
    <w:rsid w:val="008B4E62"/>
    <w:rsid w:val="008B59B7"/>
    <w:rsid w:val="008B6BEB"/>
    <w:rsid w:val="008C5FDD"/>
    <w:rsid w:val="008D79FF"/>
    <w:rsid w:val="008E3F11"/>
    <w:rsid w:val="008F00C1"/>
    <w:rsid w:val="008F1EAA"/>
    <w:rsid w:val="00901201"/>
    <w:rsid w:val="009051BB"/>
    <w:rsid w:val="00905667"/>
    <w:rsid w:val="009074C6"/>
    <w:rsid w:val="00917018"/>
    <w:rsid w:val="009177B4"/>
    <w:rsid w:val="009265D4"/>
    <w:rsid w:val="00926852"/>
    <w:rsid w:val="009326A7"/>
    <w:rsid w:val="00941ABE"/>
    <w:rsid w:val="009428F5"/>
    <w:rsid w:val="009435FB"/>
    <w:rsid w:val="009559A2"/>
    <w:rsid w:val="00960147"/>
    <w:rsid w:val="00961A57"/>
    <w:rsid w:val="00976FD5"/>
    <w:rsid w:val="0098417D"/>
    <w:rsid w:val="00984BB0"/>
    <w:rsid w:val="00985B59"/>
    <w:rsid w:val="0099131D"/>
    <w:rsid w:val="00997D30"/>
    <w:rsid w:val="009B0715"/>
    <w:rsid w:val="009B1183"/>
    <w:rsid w:val="009B5C28"/>
    <w:rsid w:val="009B612E"/>
    <w:rsid w:val="009E0E94"/>
    <w:rsid w:val="00A01297"/>
    <w:rsid w:val="00A03B91"/>
    <w:rsid w:val="00A1564E"/>
    <w:rsid w:val="00A20D3A"/>
    <w:rsid w:val="00A4569D"/>
    <w:rsid w:val="00A615A9"/>
    <w:rsid w:val="00A63AB2"/>
    <w:rsid w:val="00A643D9"/>
    <w:rsid w:val="00A70D40"/>
    <w:rsid w:val="00A82D36"/>
    <w:rsid w:val="00A867BF"/>
    <w:rsid w:val="00A87D88"/>
    <w:rsid w:val="00A91EA1"/>
    <w:rsid w:val="00AA50F9"/>
    <w:rsid w:val="00AB1179"/>
    <w:rsid w:val="00AB284C"/>
    <w:rsid w:val="00AB4DB3"/>
    <w:rsid w:val="00AB56A1"/>
    <w:rsid w:val="00AD041B"/>
    <w:rsid w:val="00AD78AC"/>
    <w:rsid w:val="00B013AC"/>
    <w:rsid w:val="00B0188C"/>
    <w:rsid w:val="00B154FC"/>
    <w:rsid w:val="00B32E83"/>
    <w:rsid w:val="00B36E3F"/>
    <w:rsid w:val="00B45164"/>
    <w:rsid w:val="00B5499D"/>
    <w:rsid w:val="00B61BD5"/>
    <w:rsid w:val="00B626E4"/>
    <w:rsid w:val="00B63B9D"/>
    <w:rsid w:val="00B63CBF"/>
    <w:rsid w:val="00B6581C"/>
    <w:rsid w:val="00B65E58"/>
    <w:rsid w:val="00B70E5B"/>
    <w:rsid w:val="00B82FB8"/>
    <w:rsid w:val="00B84696"/>
    <w:rsid w:val="00B96C3B"/>
    <w:rsid w:val="00B97CD7"/>
    <w:rsid w:val="00BA2896"/>
    <w:rsid w:val="00BB16E8"/>
    <w:rsid w:val="00BB2C42"/>
    <w:rsid w:val="00BB33B7"/>
    <w:rsid w:val="00BB3BDA"/>
    <w:rsid w:val="00BB51DB"/>
    <w:rsid w:val="00BC7F41"/>
    <w:rsid w:val="00BD0BEF"/>
    <w:rsid w:val="00BD66E6"/>
    <w:rsid w:val="00BE2E19"/>
    <w:rsid w:val="00C135E6"/>
    <w:rsid w:val="00C14D51"/>
    <w:rsid w:val="00C15F66"/>
    <w:rsid w:val="00C207DA"/>
    <w:rsid w:val="00C23281"/>
    <w:rsid w:val="00C27929"/>
    <w:rsid w:val="00C33608"/>
    <w:rsid w:val="00C4262E"/>
    <w:rsid w:val="00C43988"/>
    <w:rsid w:val="00C637F1"/>
    <w:rsid w:val="00C75E7C"/>
    <w:rsid w:val="00C76F43"/>
    <w:rsid w:val="00C771F5"/>
    <w:rsid w:val="00C96924"/>
    <w:rsid w:val="00C97000"/>
    <w:rsid w:val="00CB62E5"/>
    <w:rsid w:val="00CB7F62"/>
    <w:rsid w:val="00CC4A56"/>
    <w:rsid w:val="00CC538D"/>
    <w:rsid w:val="00CD12E5"/>
    <w:rsid w:val="00CE078C"/>
    <w:rsid w:val="00CF1BB2"/>
    <w:rsid w:val="00CF538D"/>
    <w:rsid w:val="00D00E01"/>
    <w:rsid w:val="00D221BB"/>
    <w:rsid w:val="00D247FB"/>
    <w:rsid w:val="00D24B36"/>
    <w:rsid w:val="00D25676"/>
    <w:rsid w:val="00D26A8A"/>
    <w:rsid w:val="00D324DE"/>
    <w:rsid w:val="00D35FB6"/>
    <w:rsid w:val="00D4024B"/>
    <w:rsid w:val="00D41061"/>
    <w:rsid w:val="00D523E6"/>
    <w:rsid w:val="00D56838"/>
    <w:rsid w:val="00D65608"/>
    <w:rsid w:val="00D66043"/>
    <w:rsid w:val="00D8121A"/>
    <w:rsid w:val="00D8215E"/>
    <w:rsid w:val="00D829EB"/>
    <w:rsid w:val="00D9549A"/>
    <w:rsid w:val="00DA6784"/>
    <w:rsid w:val="00DB4968"/>
    <w:rsid w:val="00DB5A21"/>
    <w:rsid w:val="00DB709B"/>
    <w:rsid w:val="00DC4552"/>
    <w:rsid w:val="00DC6D91"/>
    <w:rsid w:val="00DD4B3B"/>
    <w:rsid w:val="00DD7945"/>
    <w:rsid w:val="00DE04A1"/>
    <w:rsid w:val="00DE0F70"/>
    <w:rsid w:val="00DE2B17"/>
    <w:rsid w:val="00DE7712"/>
    <w:rsid w:val="00DE7C40"/>
    <w:rsid w:val="00DF275B"/>
    <w:rsid w:val="00E02C80"/>
    <w:rsid w:val="00E14299"/>
    <w:rsid w:val="00E20227"/>
    <w:rsid w:val="00E23306"/>
    <w:rsid w:val="00E31150"/>
    <w:rsid w:val="00E60759"/>
    <w:rsid w:val="00E70130"/>
    <w:rsid w:val="00E73C2C"/>
    <w:rsid w:val="00E86E67"/>
    <w:rsid w:val="00E92CC4"/>
    <w:rsid w:val="00E96F8F"/>
    <w:rsid w:val="00EB75E6"/>
    <w:rsid w:val="00EC0125"/>
    <w:rsid w:val="00EC06EC"/>
    <w:rsid w:val="00EC370B"/>
    <w:rsid w:val="00ED3271"/>
    <w:rsid w:val="00ED5E3A"/>
    <w:rsid w:val="00EE2FA5"/>
    <w:rsid w:val="00EE39DF"/>
    <w:rsid w:val="00EE3D5C"/>
    <w:rsid w:val="00EF10AF"/>
    <w:rsid w:val="00EF378B"/>
    <w:rsid w:val="00EF51BB"/>
    <w:rsid w:val="00F15808"/>
    <w:rsid w:val="00F2273B"/>
    <w:rsid w:val="00F24273"/>
    <w:rsid w:val="00F41575"/>
    <w:rsid w:val="00F422DD"/>
    <w:rsid w:val="00F51A13"/>
    <w:rsid w:val="00F53C88"/>
    <w:rsid w:val="00F564EC"/>
    <w:rsid w:val="00F6437D"/>
    <w:rsid w:val="00F64445"/>
    <w:rsid w:val="00F7153B"/>
    <w:rsid w:val="00F86199"/>
    <w:rsid w:val="00F86D36"/>
    <w:rsid w:val="00F943FA"/>
    <w:rsid w:val="00FA1D7F"/>
    <w:rsid w:val="00FB0FC6"/>
    <w:rsid w:val="00FC4A2B"/>
    <w:rsid w:val="00FF0CC1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AD92"/>
  <w15:docId w15:val="{3017C988-3D70-4A62-A941-5E1984B4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B59"/>
    <w:pPr>
      <w:keepNext/>
      <w:keepLines/>
      <w:spacing w:before="480" w:after="0"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85B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5B59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5B59"/>
    <w:pPr>
      <w:keepNext/>
      <w:spacing w:after="0" w:line="240" w:lineRule="auto"/>
      <w:ind w:right="-766"/>
      <w:jc w:val="center"/>
      <w:outlineLvl w:val="3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85B59"/>
    <w:pPr>
      <w:keepNext/>
      <w:tabs>
        <w:tab w:val="left" w:pos="180"/>
      </w:tabs>
      <w:spacing w:after="0" w:line="240" w:lineRule="auto"/>
      <w:jc w:val="center"/>
      <w:outlineLvl w:val="4"/>
    </w:pPr>
    <w:rPr>
      <w:rFonts w:ascii="Bookman Old Style" w:eastAsia="Times New Roman" w:hAnsi="Bookman Old Style" w:cs="Arial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85B59"/>
    <w:pPr>
      <w:keepNext/>
      <w:spacing w:after="0" w:line="240" w:lineRule="auto"/>
      <w:jc w:val="right"/>
      <w:outlineLvl w:val="5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85B59"/>
    <w:pPr>
      <w:keepNext/>
      <w:spacing w:after="0" w:line="360" w:lineRule="auto"/>
      <w:ind w:firstLine="567"/>
      <w:jc w:val="center"/>
      <w:outlineLvl w:val="6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85B59"/>
    <w:pPr>
      <w:keepNext/>
      <w:spacing w:after="0" w:line="240" w:lineRule="auto"/>
      <w:jc w:val="right"/>
      <w:outlineLvl w:val="7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85B59"/>
    <w:pPr>
      <w:keepNext/>
      <w:tabs>
        <w:tab w:val="left" w:pos="1134"/>
        <w:tab w:val="left" w:pos="15168"/>
      </w:tabs>
      <w:spacing w:after="0" w:line="240" w:lineRule="auto"/>
      <w:ind w:firstLine="851"/>
      <w:jc w:val="center"/>
      <w:outlineLvl w:val="8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85B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5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5B59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5B59"/>
    <w:rPr>
      <w:rFonts w:ascii="Bookman Old Style" w:eastAsia="Times New Roman" w:hAnsi="Bookman Old Style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85B59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5B59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5B59"/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85B5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985B59"/>
  </w:style>
  <w:style w:type="character" w:customStyle="1" w:styleId="10">
    <w:name w:val="Заголовок 1 Знак"/>
    <w:basedOn w:val="a0"/>
    <w:link w:val="1"/>
    <w:uiPriority w:val="9"/>
    <w:rsid w:val="00985B59"/>
    <w:rPr>
      <w:rFonts w:eastAsia="Times New Roman" w:cs="Times New Roman"/>
      <w:sz w:val="28"/>
      <w:szCs w:val="24"/>
    </w:rPr>
  </w:style>
  <w:style w:type="paragraph" w:styleId="a3">
    <w:name w:val="No Spacing"/>
    <w:uiPriority w:val="1"/>
    <w:qFormat/>
    <w:rsid w:val="0098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B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98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basedOn w:val="a0"/>
    <w:link w:val="13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aliases w:val="МОЙ"/>
    <w:basedOn w:val="a"/>
    <w:link w:val="32"/>
    <w:rsid w:val="00985B59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aliases w:val="МОЙ Знак"/>
    <w:basedOn w:val="a0"/>
    <w:link w:val="31"/>
    <w:rsid w:val="00985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85B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85B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5B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5B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985B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85B5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8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985B59"/>
  </w:style>
  <w:style w:type="paragraph" w:styleId="ae">
    <w:name w:val="Normal (Web)"/>
    <w:basedOn w:val="a"/>
    <w:uiPriority w:val="99"/>
    <w:unhideWhenUsed/>
    <w:rsid w:val="009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index 1"/>
    <w:basedOn w:val="a"/>
    <w:next w:val="a"/>
    <w:autoRedefine/>
    <w:rsid w:val="00985B59"/>
    <w:pPr>
      <w:spacing w:after="0" w:line="240" w:lineRule="auto"/>
      <w:ind w:firstLine="284"/>
    </w:pPr>
    <w:rPr>
      <w:rFonts w:ascii="Arial" w:eastAsia="Times New Roman" w:hAnsi="Arial" w:cs="Arial"/>
      <w:sz w:val="24"/>
      <w:szCs w:val="20"/>
      <w:lang w:eastAsia="ru-RU"/>
    </w:rPr>
  </w:style>
  <w:style w:type="paragraph" w:styleId="af">
    <w:name w:val="index heading"/>
    <w:basedOn w:val="a"/>
    <w:next w:val="15"/>
    <w:rsid w:val="00985B59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6">
    <w:name w:val="Обычный1"/>
    <w:rsid w:val="00985B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85B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98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985B5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85B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85B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98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4">
    <w:name w:val="Заголовок Знак"/>
    <w:basedOn w:val="a0"/>
    <w:link w:val="af3"/>
    <w:rsid w:val="00985B5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210">
    <w:name w:val="Основной текст 21"/>
    <w:basedOn w:val="a"/>
    <w:rsid w:val="00985B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rsid w:val="00985B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985B59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985B59"/>
  </w:style>
  <w:style w:type="paragraph" w:customStyle="1" w:styleId="af7">
    <w:name w:val="Основной"/>
    <w:basedOn w:val="a"/>
    <w:rsid w:val="00985B59"/>
    <w:pPr>
      <w:widowControl w:val="0"/>
      <w:spacing w:after="0" w:line="240" w:lineRule="auto"/>
      <w:ind w:left="567" w:firstLine="142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Document Map"/>
    <w:basedOn w:val="a"/>
    <w:link w:val="af9"/>
    <w:rsid w:val="00985B5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rsid w:val="00985B5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4"/>
    <w:rsid w:val="00985B59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85B5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17">
    <w:name w:val="текст1"/>
    <w:basedOn w:val="a"/>
    <w:rsid w:val="00985B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lock Text"/>
    <w:basedOn w:val="a"/>
    <w:rsid w:val="00985B59"/>
    <w:pPr>
      <w:tabs>
        <w:tab w:val="left" w:pos="20340"/>
      </w:tabs>
      <w:spacing w:after="0" w:line="240" w:lineRule="auto"/>
      <w:ind w:left="284" w:right="28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_"/>
    <w:link w:val="18"/>
    <w:rsid w:val="00985B59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b"/>
    <w:rsid w:val="00985B59"/>
    <w:pPr>
      <w:shd w:val="clear" w:color="auto" w:fill="FFFFFF"/>
      <w:spacing w:after="360" w:line="384" w:lineRule="exact"/>
      <w:jc w:val="both"/>
    </w:pPr>
    <w:rPr>
      <w:sz w:val="28"/>
      <w:szCs w:val="28"/>
    </w:rPr>
  </w:style>
  <w:style w:type="paragraph" w:customStyle="1" w:styleId="FORMATTEXT">
    <w:name w:val=".FORMATTEXT"/>
    <w:rsid w:val="00985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e"/>
    <w:link w:val="00"/>
    <w:qFormat/>
    <w:rsid w:val="00985B59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985B5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985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stem1">
    <w:name w:val="system1"/>
    <w:rsid w:val="00985B59"/>
    <w:rPr>
      <w:b w:val="0"/>
      <w:bCs w:val="0"/>
      <w:i w:val="0"/>
      <w:iCs w:val="0"/>
      <w:color w:val="DA8103"/>
    </w:rPr>
  </w:style>
  <w:style w:type="paragraph" w:customStyle="1" w:styleId="afc">
    <w:name w:val="текст"/>
    <w:basedOn w:val="a"/>
    <w:rsid w:val="00985B59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">
    <w:name w:val="oaeno"/>
    <w:basedOn w:val="a"/>
    <w:rsid w:val="00985B5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985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85B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5B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d">
    <w:name w:val="Strong"/>
    <w:qFormat/>
    <w:rsid w:val="00985B59"/>
    <w:rPr>
      <w:b/>
      <w:bCs/>
    </w:rPr>
  </w:style>
  <w:style w:type="paragraph" w:customStyle="1" w:styleId="xl24">
    <w:name w:val="xl24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25">
    <w:name w:val="xl25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26">
    <w:name w:val="xl26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27">
    <w:name w:val="xl27"/>
    <w:basedOn w:val="a"/>
    <w:rsid w:val="00985B5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b/>
      <w:bCs/>
      <w:color w:val="000000"/>
      <w:lang w:eastAsia="ru-RU"/>
    </w:rPr>
  </w:style>
  <w:style w:type="paragraph" w:customStyle="1" w:styleId="xl28">
    <w:name w:val="xl28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9">
    <w:name w:val="xl29"/>
    <w:basedOn w:val="a"/>
    <w:rsid w:val="0098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0">
    <w:name w:val="xl30"/>
    <w:basedOn w:val="a"/>
    <w:rsid w:val="00985B5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31">
    <w:name w:val="xl31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985B5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33">
    <w:name w:val="xl33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34">
    <w:name w:val="xl34"/>
    <w:basedOn w:val="a"/>
    <w:rsid w:val="0098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98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8">
    <w:name w:val="xl38"/>
    <w:basedOn w:val="a"/>
    <w:rsid w:val="0098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39">
    <w:name w:val="xl39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40">
    <w:name w:val="xl40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1">
    <w:name w:val="xl41"/>
    <w:basedOn w:val="a"/>
    <w:rsid w:val="0098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2">
    <w:name w:val="xl42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3">
    <w:name w:val="xl43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5">
    <w:name w:val="xl45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6">
    <w:name w:val="xl46"/>
    <w:basedOn w:val="a"/>
    <w:rsid w:val="00985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7">
    <w:name w:val="xl47"/>
    <w:basedOn w:val="a"/>
    <w:rsid w:val="00985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8">
    <w:name w:val="xl48"/>
    <w:basedOn w:val="a"/>
    <w:rsid w:val="00985B5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9">
    <w:name w:val="xl49"/>
    <w:basedOn w:val="a"/>
    <w:rsid w:val="00985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0">
    <w:name w:val="xl50"/>
    <w:basedOn w:val="a"/>
    <w:rsid w:val="00985B5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1">
    <w:name w:val="xl51"/>
    <w:basedOn w:val="a"/>
    <w:rsid w:val="00985B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2">
    <w:name w:val="xl52"/>
    <w:basedOn w:val="a"/>
    <w:rsid w:val="00985B5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3">
    <w:name w:val="xl53"/>
    <w:basedOn w:val="a"/>
    <w:rsid w:val="0098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4">
    <w:name w:val="xl54"/>
    <w:basedOn w:val="a"/>
    <w:rsid w:val="00985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55">
    <w:name w:val="xl55"/>
    <w:basedOn w:val="a"/>
    <w:rsid w:val="0098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6">
    <w:name w:val="xl56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i/>
      <w:iCs/>
      <w:color w:val="000000"/>
      <w:lang w:eastAsia="ru-RU"/>
    </w:rPr>
  </w:style>
  <w:style w:type="paragraph" w:customStyle="1" w:styleId="xl57">
    <w:name w:val="xl57"/>
    <w:basedOn w:val="a"/>
    <w:rsid w:val="00985B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8">
    <w:name w:val="xl58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9">
    <w:name w:val="xl59"/>
    <w:basedOn w:val="a"/>
    <w:rsid w:val="00985B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60">
    <w:name w:val="xl60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61">
    <w:name w:val="xl61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62">
    <w:name w:val="xl62"/>
    <w:basedOn w:val="a"/>
    <w:rsid w:val="00985B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63">
    <w:name w:val="xl63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64">
    <w:name w:val="xl64"/>
    <w:basedOn w:val="a"/>
    <w:rsid w:val="00985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65">
    <w:name w:val="xl65"/>
    <w:basedOn w:val="a"/>
    <w:rsid w:val="00985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66">
    <w:name w:val="xl66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67">
    <w:name w:val="xl67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68">
    <w:name w:val="xl68"/>
    <w:basedOn w:val="a"/>
    <w:rsid w:val="00985B59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69">
    <w:name w:val="xl69"/>
    <w:basedOn w:val="a"/>
    <w:rsid w:val="00985B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70">
    <w:name w:val="xl70"/>
    <w:basedOn w:val="a"/>
    <w:rsid w:val="00985B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985B5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Arial Unicode MS" w:hAnsi="Times New Roman CYR" w:cs="Times New Roman CYR"/>
      <w:b/>
      <w:bCs/>
      <w:lang w:eastAsia="ru-RU"/>
    </w:rPr>
  </w:style>
  <w:style w:type="paragraph" w:customStyle="1" w:styleId="xl73">
    <w:name w:val="xl73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74">
    <w:name w:val="xl74"/>
    <w:basedOn w:val="a"/>
    <w:rsid w:val="00985B5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75">
    <w:name w:val="xl75"/>
    <w:basedOn w:val="a"/>
    <w:rsid w:val="00985B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76">
    <w:name w:val="xl76"/>
    <w:basedOn w:val="a"/>
    <w:rsid w:val="00985B5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77">
    <w:name w:val="xl77"/>
    <w:basedOn w:val="a"/>
    <w:rsid w:val="00985B59"/>
    <w:pP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78">
    <w:name w:val="xl78"/>
    <w:basedOn w:val="a"/>
    <w:rsid w:val="00985B5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85B5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85B5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85B5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82">
    <w:name w:val="xl82"/>
    <w:basedOn w:val="a"/>
    <w:rsid w:val="00985B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Arial Unicode MS" w:hAnsi="Times New Roman CYR" w:cs="Times New Roman CYR"/>
      <w:i/>
      <w:iCs/>
      <w:lang w:eastAsia="ru-RU"/>
    </w:rPr>
  </w:style>
  <w:style w:type="paragraph" w:customStyle="1" w:styleId="xl83">
    <w:name w:val="xl83"/>
    <w:basedOn w:val="a"/>
    <w:rsid w:val="00985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84">
    <w:name w:val="xl84"/>
    <w:basedOn w:val="a"/>
    <w:rsid w:val="00985B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85">
    <w:name w:val="xl85"/>
    <w:basedOn w:val="a"/>
    <w:rsid w:val="00985B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b">
    <w:name w:val="ОбычнЗbй"/>
    <w:rsid w:val="00985B5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85B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0">
    <w:name w:val="A5"/>
    <w:rsid w:val="00985B59"/>
    <w:rPr>
      <w:rFonts w:cs="PT Sans"/>
      <w:color w:val="000000"/>
      <w:sz w:val="32"/>
      <w:szCs w:val="32"/>
    </w:rPr>
  </w:style>
  <w:style w:type="paragraph" w:customStyle="1" w:styleId="afe">
    <w:name w:val="Содержимое таблицы"/>
    <w:basedOn w:val="a"/>
    <w:rsid w:val="00985B5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8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rsid w:val="00985B5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5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5B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annotation text"/>
    <w:basedOn w:val="a"/>
    <w:link w:val="aff1"/>
    <w:unhideWhenUsed/>
    <w:rsid w:val="00985B5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985B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2">
    <w:name w:val="Знак"/>
    <w:basedOn w:val="a"/>
    <w:next w:val="a"/>
    <w:rsid w:val="00985B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9">
    <w:name w:val="Сетка таблицы1"/>
    <w:basedOn w:val="a1"/>
    <w:next w:val="af0"/>
    <w:uiPriority w:val="59"/>
    <w:rsid w:val="00985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985B59"/>
  </w:style>
  <w:style w:type="character" w:customStyle="1" w:styleId="111">
    <w:name w:val="Заголовок 1 Знак1"/>
    <w:basedOn w:val="a0"/>
    <w:uiPriority w:val="9"/>
    <w:rsid w:val="00985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C43988"/>
  </w:style>
  <w:style w:type="paragraph" w:customStyle="1" w:styleId="26">
    <w:name w:val="Обычный2"/>
    <w:rsid w:val="00C4398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27">
    <w:name w:val="Сетка таблицы2"/>
    <w:basedOn w:val="a1"/>
    <w:next w:val="af0"/>
    <w:rsid w:val="00C4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439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rsid w:val="00C43988"/>
  </w:style>
  <w:style w:type="table" w:customStyle="1" w:styleId="112">
    <w:name w:val="Сетка таблицы11"/>
    <w:basedOn w:val="a1"/>
    <w:next w:val="af0"/>
    <w:uiPriority w:val="59"/>
    <w:rsid w:val="00C439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43988"/>
  </w:style>
  <w:style w:type="paragraph" w:customStyle="1" w:styleId="consnormal0">
    <w:name w:val="consnormal"/>
    <w:basedOn w:val="a"/>
    <w:rsid w:val="00C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uiPriority w:val="99"/>
    <w:semiHidden/>
    <w:locked/>
    <w:rsid w:val="00675318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semiHidden/>
    <w:rsid w:val="00675318"/>
    <w:pPr>
      <w:widowControl w:val="0"/>
      <w:shd w:val="clear" w:color="auto" w:fill="FFFFFF"/>
      <w:spacing w:before="540" w:after="120" w:line="322" w:lineRule="exact"/>
      <w:jc w:val="both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2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79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801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305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80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27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291654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10383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38275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188474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753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59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7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1B3A36-AE2A-4D07-911B-7F3C8EB9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Наталья Петровна</dc:creator>
  <cp:lastModifiedBy>Пользователь</cp:lastModifiedBy>
  <cp:revision>95</cp:revision>
  <cp:lastPrinted>2024-03-21T07:13:00Z</cp:lastPrinted>
  <dcterms:created xsi:type="dcterms:W3CDTF">2024-03-20T06:36:00Z</dcterms:created>
  <dcterms:modified xsi:type="dcterms:W3CDTF">2025-03-26T05:10:00Z</dcterms:modified>
</cp:coreProperties>
</file>